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2A97" w14:textId="77777777" w:rsidR="009368B4" w:rsidRDefault="00000000">
      <w:pPr>
        <w:suppressAutoHyphens/>
        <w:autoSpaceDE w:val="0"/>
        <w:autoSpaceDN w:val="0"/>
        <w:adjustRightInd w:val="0"/>
        <w:snapToGrid w:val="0"/>
        <w:spacing w:line="276" w:lineRule="auto"/>
        <w:ind w:right="425"/>
        <w:rPr>
          <w:rFonts w:ascii="Times New Roman" w:eastAsia="仿宋_GB2312" w:hAnsi="Times New Roman"/>
          <w:sz w:val="36"/>
          <w:szCs w:val="36"/>
        </w:rPr>
      </w:pPr>
      <w:r>
        <w:rPr>
          <w:rFonts w:ascii="Times New Roman" w:eastAsia="仿宋_GB2312" w:hAnsi="Times New Roman" w:hint="eastAsia"/>
          <w:sz w:val="36"/>
          <w:szCs w:val="36"/>
        </w:rPr>
        <w:t xml:space="preserve">Article type </w:t>
      </w:r>
    </w:p>
    <w:p w14:paraId="3C81D366" w14:textId="77777777" w:rsidR="009368B4" w:rsidRDefault="00000000">
      <w:pPr>
        <w:autoSpaceDE w:val="0"/>
        <w:autoSpaceDN w:val="0"/>
        <w:adjustRightInd w:val="0"/>
        <w:snapToGrid w:val="0"/>
        <w:spacing w:line="276" w:lineRule="auto"/>
        <w:ind w:right="425"/>
        <w:rPr>
          <w:rFonts w:ascii="Times New Roman" w:eastAsia="仿宋_GB2312" w:hAnsi="Times New Roman"/>
          <w:szCs w:val="21"/>
        </w:rPr>
      </w:pPr>
      <w:r>
        <w:rPr>
          <w:rFonts w:ascii="Times New Roman" w:eastAsia="仿宋_GB2312" w:hAnsi="Times New Roman" w:hint="eastAsia"/>
          <w:color w:val="0000FF"/>
          <w:szCs w:val="21"/>
        </w:rPr>
        <w:t>(Research article, Review, Short communication, Discussion, etc.)</w:t>
      </w:r>
    </w:p>
    <w:p w14:paraId="5B97C326" w14:textId="77777777" w:rsidR="009368B4" w:rsidRDefault="009368B4">
      <w:pPr>
        <w:suppressAutoHyphens/>
        <w:autoSpaceDE w:val="0"/>
        <w:autoSpaceDN w:val="0"/>
        <w:adjustRightInd w:val="0"/>
        <w:snapToGrid w:val="0"/>
        <w:spacing w:line="276" w:lineRule="auto"/>
        <w:ind w:left="425" w:right="425"/>
        <w:jc w:val="left"/>
        <w:rPr>
          <w:rFonts w:ascii="Times New Roman" w:hAnsi="Times New Roman"/>
          <w:color w:val="0000FF"/>
          <w:szCs w:val="21"/>
        </w:rPr>
      </w:pPr>
    </w:p>
    <w:p w14:paraId="68267380" w14:textId="77777777" w:rsidR="009368B4" w:rsidRDefault="00000000">
      <w:pPr>
        <w:suppressAutoHyphens/>
        <w:autoSpaceDE w:val="0"/>
        <w:autoSpaceDN w:val="0"/>
        <w:adjustRightInd w:val="0"/>
        <w:snapToGrid w:val="0"/>
        <w:spacing w:line="276" w:lineRule="auto"/>
        <w:ind w:right="425"/>
        <w:rPr>
          <w:rFonts w:ascii="Times New Roman" w:eastAsia="仿宋_GB2312" w:hAnsi="Times New Roman"/>
          <w:sz w:val="36"/>
          <w:szCs w:val="36"/>
        </w:rPr>
      </w:pPr>
      <w:r>
        <w:rPr>
          <w:rFonts w:ascii="Times New Roman" w:eastAsia="仿宋_GB2312" w:hAnsi="Times New Roman" w:hint="eastAsia"/>
          <w:sz w:val="36"/>
          <w:szCs w:val="36"/>
        </w:rPr>
        <w:t>Title</w:t>
      </w:r>
    </w:p>
    <w:p w14:paraId="2629E884" w14:textId="77777777" w:rsidR="009368B4" w:rsidRDefault="00000000">
      <w:pPr>
        <w:suppressAutoHyphens/>
        <w:adjustRightInd w:val="0"/>
        <w:snapToGrid w:val="0"/>
        <w:spacing w:line="276" w:lineRule="auto"/>
        <w:rPr>
          <w:rFonts w:ascii="Times New Roman" w:hAnsi="Times New Roman"/>
          <w:color w:val="0000FF"/>
          <w:szCs w:val="21"/>
        </w:rPr>
      </w:pPr>
      <w:r>
        <w:rPr>
          <w:rFonts w:ascii="Times New Roman" w:hAnsi="Times New Roman"/>
          <w:color w:val="0000FF"/>
          <w:szCs w:val="21"/>
        </w:rPr>
        <w:t>(Title usually falls within 2</w:t>
      </w:r>
      <w:r>
        <w:rPr>
          <w:rFonts w:ascii="Times New Roman" w:hAnsi="Times New Roman"/>
          <w:color w:val="000000"/>
          <w:szCs w:val="21"/>
          <w:lang w:eastAsia="zh-Hans"/>
        </w:rPr>
        <w:t>−</w:t>
      </w:r>
      <w:r>
        <w:rPr>
          <w:rFonts w:ascii="Times New Roman" w:hAnsi="Times New Roman"/>
          <w:color w:val="0000FF"/>
          <w:szCs w:val="21"/>
        </w:rPr>
        <w:t>3 lines. All words, except for proper nouns, should be in lowercase.)</w:t>
      </w:r>
    </w:p>
    <w:p w14:paraId="30C9E2D3" w14:textId="77777777" w:rsidR="009368B4" w:rsidRDefault="009368B4">
      <w:pPr>
        <w:suppressAutoHyphens/>
        <w:autoSpaceDE w:val="0"/>
        <w:autoSpaceDN w:val="0"/>
        <w:adjustRightInd w:val="0"/>
        <w:snapToGrid w:val="0"/>
        <w:spacing w:line="276" w:lineRule="auto"/>
        <w:ind w:right="425"/>
        <w:rPr>
          <w:rFonts w:ascii="Times New Roman" w:hAnsi="Times New Roman"/>
          <w:color w:val="0000FF"/>
          <w:szCs w:val="21"/>
        </w:rPr>
      </w:pPr>
    </w:p>
    <w:p w14:paraId="4C0F8E72" w14:textId="77777777" w:rsidR="009368B4" w:rsidRDefault="00000000">
      <w:pPr>
        <w:autoSpaceDE w:val="0"/>
        <w:autoSpaceDN w:val="0"/>
        <w:adjustRightInd w:val="0"/>
        <w:snapToGrid w:val="0"/>
        <w:spacing w:line="276" w:lineRule="auto"/>
        <w:ind w:left="5" w:right="425" w:hanging="5"/>
        <w:rPr>
          <w:rFonts w:ascii="Times New Roman" w:hAnsi="Times New Roman"/>
          <w:szCs w:val="21"/>
        </w:rPr>
      </w:pPr>
      <w:r>
        <w:rPr>
          <w:rFonts w:ascii="Times New Roman" w:hAnsi="Times New Roman"/>
          <w:szCs w:val="21"/>
        </w:rPr>
        <w:t>First</w:t>
      </w:r>
      <w:r>
        <w:rPr>
          <w:rFonts w:ascii="Times New Roman" w:hAnsi="Times New Roman" w:hint="eastAsia"/>
          <w:szCs w:val="21"/>
        </w:rPr>
        <w:t xml:space="preserve"> </w:t>
      </w:r>
      <w:r>
        <w:rPr>
          <w:rFonts w:ascii="Times New Roman" w:hAnsi="Times New Roman"/>
          <w:szCs w:val="21"/>
        </w:rPr>
        <w:t>name Last</w:t>
      </w:r>
      <w:r>
        <w:rPr>
          <w:rFonts w:ascii="Times New Roman" w:hAnsi="Times New Roman" w:hint="eastAsia"/>
          <w:szCs w:val="21"/>
        </w:rPr>
        <w:t xml:space="preserve"> </w:t>
      </w:r>
      <w:r>
        <w:rPr>
          <w:rFonts w:ascii="Times New Roman" w:hAnsi="Times New Roman"/>
          <w:szCs w:val="21"/>
        </w:rPr>
        <w:t>name</w:t>
      </w:r>
      <w:r>
        <w:rPr>
          <w:rFonts w:ascii="Times New Roman" w:hAnsi="Times New Roman"/>
          <w:szCs w:val="21"/>
          <w:vertAlign w:val="superscript"/>
        </w:rPr>
        <w:t>a</w:t>
      </w:r>
      <w:r>
        <w:rPr>
          <w:rFonts w:ascii="Times New Roman" w:hAnsi="Times New Roman"/>
          <w:szCs w:val="21"/>
        </w:rPr>
        <w:t>, First</w:t>
      </w:r>
      <w:r>
        <w:rPr>
          <w:rFonts w:ascii="Times New Roman" w:hAnsi="Times New Roman" w:hint="eastAsia"/>
          <w:szCs w:val="21"/>
        </w:rPr>
        <w:t xml:space="preserve"> </w:t>
      </w:r>
      <w:r>
        <w:rPr>
          <w:rFonts w:ascii="Times New Roman" w:hAnsi="Times New Roman"/>
          <w:szCs w:val="21"/>
        </w:rPr>
        <w:t>name Last</w:t>
      </w:r>
      <w:r>
        <w:rPr>
          <w:rFonts w:ascii="Times New Roman" w:hAnsi="Times New Roman" w:hint="eastAsia"/>
          <w:szCs w:val="21"/>
        </w:rPr>
        <w:t xml:space="preserve"> </w:t>
      </w:r>
      <w:r>
        <w:rPr>
          <w:rFonts w:ascii="Times New Roman" w:hAnsi="Times New Roman"/>
          <w:szCs w:val="21"/>
        </w:rPr>
        <w:t>name</w:t>
      </w:r>
      <w:r>
        <w:rPr>
          <w:rFonts w:ascii="Times New Roman" w:hAnsi="Times New Roman"/>
          <w:szCs w:val="21"/>
          <w:vertAlign w:val="superscript"/>
        </w:rPr>
        <w:t>b</w:t>
      </w:r>
      <w:r>
        <w:rPr>
          <w:rFonts w:ascii="Times New Roman" w:hAnsi="Times New Roman" w:hint="eastAsia"/>
          <w:szCs w:val="21"/>
        </w:rPr>
        <w:t>,</w:t>
      </w:r>
      <w:r>
        <w:rPr>
          <w:rFonts w:ascii="Times New Roman" w:hAnsi="Times New Roman"/>
          <w:szCs w:val="21"/>
        </w:rPr>
        <w:t xml:space="preserve"> First</w:t>
      </w:r>
      <w:r>
        <w:rPr>
          <w:rFonts w:ascii="Times New Roman" w:hAnsi="Times New Roman" w:hint="eastAsia"/>
          <w:szCs w:val="21"/>
        </w:rPr>
        <w:t xml:space="preserve"> </w:t>
      </w:r>
      <w:r>
        <w:rPr>
          <w:rFonts w:ascii="Times New Roman" w:hAnsi="Times New Roman"/>
          <w:szCs w:val="21"/>
        </w:rPr>
        <w:t>name Last</w:t>
      </w:r>
      <w:r>
        <w:rPr>
          <w:rFonts w:ascii="Times New Roman" w:hAnsi="Times New Roman" w:hint="eastAsia"/>
          <w:szCs w:val="21"/>
        </w:rPr>
        <w:t xml:space="preserve"> </w:t>
      </w:r>
      <w:r>
        <w:rPr>
          <w:rFonts w:ascii="Times New Roman" w:hAnsi="Times New Roman"/>
          <w:szCs w:val="21"/>
        </w:rPr>
        <w:t>name</w:t>
      </w:r>
      <w:r>
        <w:rPr>
          <w:rFonts w:ascii="Times New Roman" w:hAnsi="Times New Roman"/>
          <w:szCs w:val="21"/>
          <w:vertAlign w:val="superscript"/>
        </w:rPr>
        <w:t>b,</w:t>
      </w:r>
      <w:r>
        <w:rPr>
          <w:rFonts w:ascii="Times New Roman" w:hAnsi="Times New Roman"/>
          <w:szCs w:val="21"/>
        </w:rPr>
        <w:t>*</w:t>
      </w:r>
    </w:p>
    <w:p w14:paraId="0BD8846F" w14:textId="77777777" w:rsidR="009368B4" w:rsidRDefault="00000000">
      <w:pPr>
        <w:adjustRightInd w:val="0"/>
        <w:snapToGrid w:val="0"/>
        <w:spacing w:line="276" w:lineRule="auto"/>
        <w:ind w:left="3" w:hanging="3"/>
        <w:rPr>
          <w:rFonts w:ascii="Times New Roman" w:eastAsia="仿宋_GB2312" w:hAnsi="Times New Roman"/>
          <w:iCs/>
          <w:szCs w:val="21"/>
        </w:rPr>
      </w:pPr>
      <w:r>
        <w:rPr>
          <w:rFonts w:ascii="Times New Roman" w:hAnsi="Times New Roman"/>
          <w:iCs/>
          <w:color w:val="000000"/>
          <w:szCs w:val="21"/>
          <w:vertAlign w:val="superscript"/>
        </w:rPr>
        <w:t xml:space="preserve">a </w:t>
      </w:r>
      <w:r>
        <w:rPr>
          <w:rFonts w:ascii="Times New Roman" w:hAnsi="Times New Roman"/>
          <w:iCs/>
          <w:color w:val="000000"/>
          <w:szCs w:val="21"/>
        </w:rPr>
        <w:t xml:space="preserve">Department of xxx, </w:t>
      </w:r>
      <w:r>
        <w:rPr>
          <w:rFonts w:ascii="Times New Roman" w:hAnsi="Times New Roman"/>
          <w:iCs/>
          <w:szCs w:val="21"/>
          <w:lang w:val="en-AU"/>
        </w:rPr>
        <w:t>School of Economics and Finance, Xi</w:t>
      </w:r>
      <w:r>
        <w:rPr>
          <w:rFonts w:ascii="Times New Roman" w:hAnsi="Times New Roman"/>
          <w:iCs/>
          <w:szCs w:val="21"/>
        </w:rPr>
        <w:t>’</w:t>
      </w:r>
      <w:r>
        <w:rPr>
          <w:rFonts w:ascii="Times New Roman" w:hAnsi="Times New Roman"/>
          <w:iCs/>
          <w:szCs w:val="21"/>
          <w:lang w:val="en-AU"/>
        </w:rPr>
        <w:t xml:space="preserve">an Jiaotong University, </w:t>
      </w:r>
      <w:r>
        <w:rPr>
          <w:rFonts w:ascii="Times New Roman" w:hAnsi="Times New Roman" w:hint="eastAsia"/>
          <w:iCs/>
          <w:szCs w:val="21"/>
        </w:rPr>
        <w:t>Xi</w:t>
      </w:r>
      <w:r>
        <w:rPr>
          <w:rFonts w:ascii="Times New Roman" w:hAnsi="Times New Roman"/>
          <w:iCs/>
          <w:szCs w:val="21"/>
        </w:rPr>
        <w:t>’</w:t>
      </w:r>
      <w:r>
        <w:rPr>
          <w:rFonts w:ascii="Times New Roman" w:hAnsi="Times New Roman" w:hint="eastAsia"/>
          <w:iCs/>
          <w:szCs w:val="21"/>
        </w:rPr>
        <w:t xml:space="preserve">an, </w:t>
      </w:r>
      <w:r>
        <w:rPr>
          <w:rFonts w:ascii="Times New Roman" w:hAnsi="Times New Roman"/>
          <w:iCs/>
          <w:szCs w:val="21"/>
          <w:lang w:val="en-AU"/>
        </w:rPr>
        <w:t>710049, China</w:t>
      </w:r>
      <w:r>
        <w:rPr>
          <w:rFonts w:ascii="Times New Roman" w:eastAsia="仿宋_GB2312" w:hAnsi="Times New Roman"/>
          <w:iCs/>
          <w:szCs w:val="21"/>
        </w:rPr>
        <w:t>;</w:t>
      </w:r>
    </w:p>
    <w:p w14:paraId="0C5D41B6" w14:textId="77777777" w:rsidR="009368B4" w:rsidRDefault="00000000">
      <w:pPr>
        <w:pStyle w:val="af3"/>
        <w:adjustRightInd w:val="0"/>
        <w:snapToGrid w:val="0"/>
        <w:spacing w:line="276" w:lineRule="auto"/>
        <w:ind w:left="3" w:hanging="3"/>
        <w:jc w:val="both"/>
        <w:rPr>
          <w:sz w:val="21"/>
          <w:szCs w:val="21"/>
        </w:rPr>
      </w:pPr>
      <w:r>
        <w:rPr>
          <w:iCs/>
          <w:sz w:val="21"/>
          <w:szCs w:val="21"/>
          <w:vertAlign w:val="superscript"/>
        </w:rPr>
        <w:t xml:space="preserve">b </w:t>
      </w:r>
      <w:r>
        <w:rPr>
          <w:iCs/>
          <w:sz w:val="21"/>
          <w:szCs w:val="21"/>
        </w:rPr>
        <w:t xml:space="preserve">Department of xxx, </w:t>
      </w:r>
      <w:r>
        <w:rPr>
          <w:sz w:val="21"/>
          <w:szCs w:val="21"/>
        </w:rPr>
        <w:t>Institute of Transport and Logistics Studies, The University of Sydney Business School, The University of Sydney, NSW 2006, Australia</w:t>
      </w:r>
    </w:p>
    <w:p w14:paraId="70AE9D1C" w14:textId="77777777" w:rsidR="009368B4" w:rsidRDefault="00000000">
      <w:pPr>
        <w:suppressAutoHyphens/>
        <w:adjustRightInd w:val="0"/>
        <w:snapToGrid w:val="0"/>
        <w:spacing w:line="276" w:lineRule="auto"/>
        <w:rPr>
          <w:rFonts w:ascii="Times New Roman" w:hAnsi="Times New Roman"/>
          <w:color w:val="0000FF"/>
          <w:szCs w:val="21"/>
        </w:rPr>
      </w:pPr>
      <w:r>
        <w:rPr>
          <w:rFonts w:ascii="Times New Roman" w:hAnsi="Times New Roman"/>
          <w:color w:val="0000FF"/>
          <w:szCs w:val="21"/>
        </w:rPr>
        <w:t>(Author affiliations should be listed according to the name order under the paper title. The corresponding author should be marked with “*” on the top right.)</w:t>
      </w:r>
    </w:p>
    <w:p w14:paraId="75CE2BA3" w14:textId="77777777" w:rsidR="009368B4" w:rsidRDefault="009368B4">
      <w:pPr>
        <w:pStyle w:val="af3"/>
        <w:adjustRightInd w:val="0"/>
        <w:snapToGrid w:val="0"/>
        <w:spacing w:line="276" w:lineRule="auto"/>
        <w:ind w:left="143"/>
        <w:jc w:val="both"/>
        <w:rPr>
          <w:sz w:val="21"/>
          <w:szCs w:val="21"/>
        </w:rPr>
      </w:pPr>
    </w:p>
    <w:p w14:paraId="016CFEC9" w14:textId="77777777" w:rsidR="009368B4" w:rsidRDefault="00000000">
      <w:pPr>
        <w:pStyle w:val="af3"/>
        <w:adjustRightInd w:val="0"/>
        <w:snapToGrid w:val="0"/>
        <w:spacing w:line="276" w:lineRule="auto"/>
        <w:jc w:val="both"/>
        <w:rPr>
          <w:sz w:val="21"/>
          <w:szCs w:val="21"/>
        </w:rPr>
      </w:pPr>
      <w:r>
        <w:rPr>
          <w:sz w:val="21"/>
          <w:szCs w:val="21"/>
        </w:rPr>
        <w:t xml:space="preserve">* </w:t>
      </w:r>
      <w:r>
        <w:rPr>
          <w:rFonts w:hint="eastAsia"/>
          <w:sz w:val="21"/>
          <w:szCs w:val="21"/>
        </w:rPr>
        <w:t>C</w:t>
      </w:r>
      <w:r>
        <w:rPr>
          <w:sz w:val="21"/>
          <w:szCs w:val="21"/>
        </w:rPr>
        <w:t>orresponding author.</w:t>
      </w:r>
    </w:p>
    <w:p w14:paraId="4D770E28" w14:textId="77777777" w:rsidR="009368B4" w:rsidRDefault="00000000">
      <w:pPr>
        <w:pStyle w:val="af3"/>
        <w:adjustRightInd w:val="0"/>
        <w:snapToGrid w:val="0"/>
        <w:spacing w:line="276" w:lineRule="auto"/>
        <w:jc w:val="both"/>
        <w:rPr>
          <w:rFonts w:ascii="宋体" w:eastAsia="宋体" w:hAnsi="宋体" w:cs="宋体" w:hint="eastAsia"/>
          <w:sz w:val="21"/>
          <w:szCs w:val="21"/>
        </w:rPr>
      </w:pPr>
      <w:r>
        <w:rPr>
          <w:rFonts w:hint="eastAsia"/>
          <w:sz w:val="21"/>
          <w:szCs w:val="21"/>
        </w:rPr>
        <w:t>E</w:t>
      </w:r>
      <w:r>
        <w:rPr>
          <w:sz w:val="21"/>
          <w:szCs w:val="21"/>
        </w:rPr>
        <w:t xml:space="preserve">-mail address: </w:t>
      </w:r>
      <w:hyperlink r:id="rId4" w:history="1">
        <w:r>
          <w:rPr>
            <w:sz w:val="21"/>
            <w:szCs w:val="21"/>
          </w:rPr>
          <w:t>e-mail@e-mail.com</w:t>
        </w:r>
      </w:hyperlink>
      <w:r>
        <w:rPr>
          <w:sz w:val="21"/>
          <w:szCs w:val="21"/>
        </w:rPr>
        <w:t xml:space="preserve"> (author initials)</w:t>
      </w:r>
      <w:r>
        <w:rPr>
          <w:rFonts w:ascii="宋体" w:eastAsia="宋体" w:hAnsi="宋体" w:cs="宋体"/>
          <w:sz w:val="21"/>
          <w:szCs w:val="21"/>
        </w:rPr>
        <w:t>.</w:t>
      </w:r>
    </w:p>
    <w:p w14:paraId="6B66E3A8" w14:textId="77777777" w:rsidR="009368B4" w:rsidRDefault="00000000">
      <w:pPr>
        <w:adjustRightInd w:val="0"/>
        <w:snapToGrid w:val="0"/>
        <w:spacing w:line="276" w:lineRule="auto"/>
        <w:rPr>
          <w:rFonts w:ascii="Times New Roman" w:eastAsia="仿宋_GB2312" w:hAnsi="Times New Roman"/>
          <w:b/>
          <w:bCs/>
          <w:szCs w:val="21"/>
        </w:rPr>
      </w:pPr>
      <w:bookmarkStart w:id="0" w:name="OLE_LINK1"/>
      <w:r>
        <w:rPr>
          <w:rFonts w:ascii="Times New Roman" w:eastAsia="仿宋_GB2312" w:hAnsi="Times New Roman"/>
          <w:b/>
          <w:bCs/>
          <w:szCs w:val="21"/>
        </w:rPr>
        <w:t>Abstract</w:t>
      </w:r>
    </w:p>
    <w:p w14:paraId="65388224" w14:textId="77777777" w:rsidR="009368B4" w:rsidRDefault="00000000">
      <w:pPr>
        <w:adjustRightInd w:val="0"/>
        <w:snapToGrid w:val="0"/>
        <w:spacing w:line="276" w:lineRule="auto"/>
        <w:rPr>
          <w:rFonts w:ascii="Times New Roman" w:hAnsi="Times New Roman"/>
          <w:color w:val="0000FF"/>
          <w:szCs w:val="21"/>
        </w:rPr>
      </w:pPr>
      <w:r>
        <w:rPr>
          <w:rFonts w:ascii="Times New Roman" w:hAnsi="Times New Roman"/>
          <w:color w:val="0000FF"/>
          <w:szCs w:val="21"/>
        </w:rPr>
        <w:t>(Abstract should be about 150</w:t>
      </w:r>
      <w:r>
        <w:rPr>
          <w:rFonts w:ascii="Times New Roman" w:hAnsi="Times New Roman"/>
          <w:color w:val="000000"/>
          <w:szCs w:val="21"/>
          <w:lang w:eastAsia="zh-Hans"/>
        </w:rPr>
        <w:t>−</w:t>
      </w:r>
      <w:r>
        <w:rPr>
          <w:rFonts w:ascii="Times New Roman" w:hAnsi="Times New Roman"/>
          <w:color w:val="0000FF"/>
          <w:szCs w:val="21"/>
        </w:rPr>
        <w:t>200 words which can conclude the whole content of the paper, including purpose, method, results and conclusion. Equations, figures and tables, as well as references are not supposed to appear in this part. When abbreviation is firstly used, it should contain the full name with its abbreviation included in parentheses, such as “mixed multinominal logit (MMNL) model”. Do NOT use the first person as subject. Do NOT repeat the title as the first sentence of the abstract. Simple sentence and active voice are preferred, and verb should be close to the subject.)</w:t>
      </w:r>
    </w:p>
    <w:p w14:paraId="43E57E50" w14:textId="77777777" w:rsidR="009368B4" w:rsidRDefault="00000000">
      <w:pPr>
        <w:adjustRightInd w:val="0"/>
        <w:snapToGrid w:val="0"/>
        <w:spacing w:line="276" w:lineRule="auto"/>
        <w:rPr>
          <w:rFonts w:ascii="Times New Roman" w:eastAsia="仿宋_GB2312" w:hAnsi="Times New Roman"/>
          <w:szCs w:val="21"/>
        </w:rPr>
      </w:pPr>
      <w:bookmarkStart w:id="1" w:name="OLE_LINK3"/>
      <w:bookmarkEnd w:id="0"/>
      <w:r>
        <w:rPr>
          <w:rFonts w:ascii="Times New Roman" w:eastAsia="仿宋_GB2312" w:hAnsi="Times New Roman"/>
          <w:szCs w:val="21"/>
        </w:rPr>
        <w:t xml:space="preserve">This study conducts an experimental analysis of risky travel choice behaviour, while accounting for the trade-off between </w:t>
      </w:r>
      <w:bookmarkStart w:id="2" w:name="_Hlk25067130"/>
      <w:r>
        <w:rPr>
          <w:rFonts w:ascii="Times New Roman" w:eastAsia="仿宋_GB2312" w:hAnsi="Times New Roman"/>
          <w:szCs w:val="21"/>
        </w:rPr>
        <w:t>attributes, nonlinearity in utility specification and perceptual conditioning</w:t>
      </w:r>
      <w:bookmarkEnd w:id="2"/>
      <w:r>
        <w:rPr>
          <w:rFonts w:ascii="Times New Roman" w:eastAsia="仿宋_GB2312" w:hAnsi="Times New Roman"/>
          <w:szCs w:val="21"/>
        </w:rPr>
        <w:t xml:space="preserve">. The focus is on empirically measuring between-individual heterogeneity in beliefs, and a key finding is that the sampled decision makers are associated with different levels of pessimism. The accommodation of individual beliefs in modelling risky decisions contributes significantly to the explanation of the choice data, relative to the normative Expected Utility Theoretical model which directly uses the probabilities of outcomes and implicitly assumes belief neutrality. The implication of pessimistic beliefs for valuing willingness to pay is illustrated at the individual level.  </w:t>
      </w:r>
    </w:p>
    <w:p w14:paraId="562B97BB" w14:textId="77777777" w:rsidR="009368B4" w:rsidRDefault="00000000">
      <w:pPr>
        <w:adjustRightInd w:val="0"/>
        <w:snapToGrid w:val="0"/>
        <w:spacing w:line="276" w:lineRule="auto"/>
        <w:rPr>
          <w:rFonts w:ascii="Times New Roman" w:eastAsia="仿宋_GB2312" w:hAnsi="Times New Roman"/>
          <w:szCs w:val="21"/>
        </w:rPr>
      </w:pPr>
      <w:r>
        <w:rPr>
          <w:rFonts w:ascii="Times New Roman" w:eastAsia="仿宋_GB2312" w:hAnsi="Times New Roman"/>
          <w:b/>
          <w:bCs/>
          <w:szCs w:val="21"/>
        </w:rPr>
        <w:t xml:space="preserve">Keywords: </w:t>
      </w:r>
      <w:r>
        <w:rPr>
          <w:rFonts w:ascii="Times New Roman" w:eastAsia="仿宋_GB2312" w:hAnsi="Times New Roman" w:hint="eastAsia"/>
          <w:szCs w:val="21"/>
        </w:rPr>
        <w:t>D</w:t>
      </w:r>
      <w:r>
        <w:rPr>
          <w:rFonts w:ascii="Times New Roman" w:eastAsia="仿宋_GB2312" w:hAnsi="Times New Roman"/>
          <w:szCs w:val="21"/>
        </w:rPr>
        <w:t>ecision making under risk</w:t>
      </w:r>
      <w:r>
        <w:rPr>
          <w:rFonts w:ascii="Times New Roman" w:eastAsia="仿宋_GB2312" w:hAnsi="Times New Roman" w:hint="eastAsia"/>
          <w:szCs w:val="21"/>
        </w:rPr>
        <w:t>;</w:t>
      </w:r>
      <w:r>
        <w:rPr>
          <w:rFonts w:ascii="Times New Roman" w:eastAsia="仿宋_GB2312" w:hAnsi="Times New Roman"/>
          <w:szCs w:val="21"/>
        </w:rPr>
        <w:t xml:space="preserve"> </w:t>
      </w:r>
      <w:r>
        <w:rPr>
          <w:rFonts w:ascii="Times New Roman" w:eastAsia="仿宋_GB2312" w:hAnsi="Times New Roman" w:hint="eastAsia"/>
          <w:szCs w:val="21"/>
        </w:rPr>
        <w:t>C</w:t>
      </w:r>
      <w:r>
        <w:rPr>
          <w:rFonts w:ascii="Times New Roman" w:eastAsia="仿宋_GB2312" w:hAnsi="Times New Roman"/>
          <w:szCs w:val="21"/>
        </w:rPr>
        <w:t>hoice behaviour</w:t>
      </w:r>
      <w:r>
        <w:rPr>
          <w:rFonts w:ascii="Times New Roman" w:eastAsia="仿宋_GB2312" w:hAnsi="Times New Roman" w:hint="eastAsia"/>
          <w:szCs w:val="21"/>
        </w:rPr>
        <w:t>;</w:t>
      </w:r>
      <w:r>
        <w:rPr>
          <w:rFonts w:ascii="Times New Roman" w:eastAsia="仿宋_GB2312" w:hAnsi="Times New Roman"/>
          <w:szCs w:val="21"/>
        </w:rPr>
        <w:t xml:space="preserve"> </w:t>
      </w:r>
      <w:r>
        <w:rPr>
          <w:rFonts w:ascii="Times New Roman" w:eastAsia="仿宋_GB2312" w:hAnsi="Times New Roman" w:hint="eastAsia"/>
          <w:szCs w:val="21"/>
        </w:rPr>
        <w:t>B</w:t>
      </w:r>
      <w:r>
        <w:rPr>
          <w:rFonts w:ascii="Times New Roman" w:eastAsia="仿宋_GB2312" w:hAnsi="Times New Roman"/>
          <w:szCs w:val="21"/>
        </w:rPr>
        <w:t>elief</w:t>
      </w:r>
      <w:r>
        <w:rPr>
          <w:rFonts w:ascii="Times New Roman" w:eastAsia="仿宋_GB2312" w:hAnsi="Times New Roman" w:hint="eastAsia"/>
          <w:szCs w:val="21"/>
        </w:rPr>
        <w:t>;</w:t>
      </w:r>
      <w:r>
        <w:rPr>
          <w:rFonts w:ascii="Times New Roman" w:eastAsia="仿宋_GB2312" w:hAnsi="Times New Roman"/>
          <w:szCs w:val="21"/>
        </w:rPr>
        <w:t xml:space="preserve"> </w:t>
      </w:r>
      <w:r>
        <w:rPr>
          <w:rFonts w:ascii="Times New Roman" w:eastAsia="仿宋_GB2312" w:hAnsi="Times New Roman" w:hint="eastAsia"/>
          <w:szCs w:val="21"/>
        </w:rPr>
        <w:t>W</w:t>
      </w:r>
      <w:r>
        <w:rPr>
          <w:rFonts w:ascii="Times New Roman" w:eastAsia="仿宋_GB2312" w:hAnsi="Times New Roman"/>
          <w:szCs w:val="21"/>
        </w:rPr>
        <w:t>illingness to pay</w:t>
      </w:r>
      <w:r>
        <w:rPr>
          <w:rFonts w:ascii="Times New Roman" w:eastAsia="仿宋_GB2312" w:hAnsi="Times New Roman" w:hint="eastAsia"/>
          <w:szCs w:val="21"/>
        </w:rPr>
        <w:t>;</w:t>
      </w:r>
      <w:r>
        <w:rPr>
          <w:rFonts w:ascii="Times New Roman" w:eastAsia="仿宋_GB2312" w:hAnsi="Times New Roman"/>
          <w:szCs w:val="21"/>
        </w:rPr>
        <w:t xml:space="preserve"> Rank-Dependent Utility Theory</w:t>
      </w:r>
    </w:p>
    <w:p w14:paraId="6168C483" w14:textId="77777777" w:rsidR="009368B4" w:rsidRDefault="00000000">
      <w:pPr>
        <w:adjustRightInd w:val="0"/>
        <w:snapToGrid w:val="0"/>
        <w:spacing w:line="276" w:lineRule="auto"/>
        <w:rPr>
          <w:rFonts w:ascii="Times New Roman" w:hAnsi="Times New Roman"/>
          <w:color w:val="0000FF"/>
          <w:szCs w:val="21"/>
        </w:rPr>
      </w:pPr>
      <w:r>
        <w:rPr>
          <w:rFonts w:ascii="Times New Roman" w:hAnsi="Times New Roman"/>
          <w:color w:val="0000FF"/>
          <w:szCs w:val="21"/>
        </w:rPr>
        <w:t>(about 5-8 words separated with “;”; use small letters except technical terms. Abbreviations should contain full name with abbreviation included in parentheses.)</w:t>
      </w:r>
    </w:p>
    <w:p w14:paraId="0B47BECB" w14:textId="77777777" w:rsidR="009368B4" w:rsidRDefault="009368B4">
      <w:pPr>
        <w:adjustRightInd w:val="0"/>
        <w:snapToGrid w:val="0"/>
        <w:spacing w:line="276" w:lineRule="auto"/>
        <w:rPr>
          <w:rFonts w:ascii="Times New Roman" w:hAnsi="Times New Roman"/>
          <w:color w:val="0000FF"/>
          <w:szCs w:val="21"/>
        </w:rPr>
      </w:pPr>
    </w:p>
    <w:bookmarkEnd w:id="1"/>
    <w:p w14:paraId="5A6F261F"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1. Introduction</w:t>
      </w:r>
    </w:p>
    <w:p w14:paraId="75164BD3" w14:textId="77777777" w:rsidR="009368B4" w:rsidRDefault="00000000">
      <w:pPr>
        <w:adjustRightInd w:val="0"/>
        <w:snapToGrid w:val="0"/>
        <w:spacing w:line="276" w:lineRule="auto"/>
        <w:ind w:firstLineChars="200" w:firstLine="420"/>
        <w:rPr>
          <w:rFonts w:ascii="Times New Roman" w:eastAsia="仿宋_GB2312" w:hAnsi="Times New Roman"/>
          <w:szCs w:val="21"/>
        </w:rPr>
      </w:pPr>
      <w:r>
        <w:rPr>
          <w:rFonts w:ascii="Times New Roman" w:eastAsia="仿宋_GB2312" w:hAnsi="Times New Roman"/>
          <w:szCs w:val="21"/>
        </w:rPr>
        <w:t>Choice situations may be deterministic or probabilistic. In the former (latter) choice domain, the attribute levels of a choice alternative tend to be constant (variable) over repeated experiences. For road transport systems, in particular operating in urban areas, variations of travel time are inevitable due to fluctuations at the demand side and supply side of traffic.</w:t>
      </w:r>
    </w:p>
    <w:p w14:paraId="7367D250" w14:textId="77777777" w:rsidR="009368B4" w:rsidRDefault="00000000">
      <w:pPr>
        <w:adjustRightInd w:val="0"/>
        <w:snapToGrid w:val="0"/>
        <w:spacing w:line="276" w:lineRule="auto"/>
        <w:ind w:firstLineChars="200" w:firstLine="420"/>
        <w:rPr>
          <w:rFonts w:ascii="Times New Roman" w:eastAsia="仿宋_GB2312" w:hAnsi="Times New Roman"/>
          <w:szCs w:val="21"/>
        </w:rPr>
      </w:pPr>
      <w:r>
        <w:rPr>
          <w:rFonts w:ascii="Times New Roman" w:eastAsia="仿宋_GB2312" w:hAnsi="Times New Roman"/>
          <w:szCs w:val="21"/>
        </w:rPr>
        <w:t>Most conventional travel time variability research simply treated travel time variability as an additional component of disutility within a linear utility modelling framework (Taylor</w:t>
      </w:r>
      <w:r>
        <w:rPr>
          <w:rFonts w:ascii="Times New Roman" w:eastAsia="仿宋_GB2312" w:hAnsi="Times New Roman" w:hint="eastAsia"/>
          <w:szCs w:val="21"/>
        </w:rPr>
        <w:t>,</w:t>
      </w:r>
      <w:r>
        <w:rPr>
          <w:rFonts w:ascii="Times New Roman" w:eastAsia="仿宋_GB2312" w:hAnsi="Times New Roman"/>
          <w:szCs w:val="21"/>
        </w:rPr>
        <w:t xml:space="preserve"> 2013), while ignoring the psychological influence of risk on decision making.</w:t>
      </w:r>
    </w:p>
    <w:p w14:paraId="70FC4038" w14:textId="77777777" w:rsidR="009368B4" w:rsidRDefault="00000000">
      <w:pPr>
        <w:adjustRightInd w:val="0"/>
        <w:snapToGrid w:val="0"/>
        <w:spacing w:line="276" w:lineRule="auto"/>
        <w:ind w:firstLineChars="100" w:firstLine="210"/>
        <w:rPr>
          <w:rFonts w:ascii="Times New Roman" w:hAnsi="Times New Roman"/>
          <w:color w:val="0000FF"/>
          <w:szCs w:val="21"/>
        </w:rPr>
      </w:pPr>
      <w:r>
        <w:rPr>
          <w:rFonts w:ascii="Times New Roman" w:hAnsi="Times New Roman"/>
          <w:color w:val="0000FF"/>
          <w:szCs w:val="21"/>
        </w:rPr>
        <w:lastRenderedPageBreak/>
        <w:t>(Equations, figures and tables are usually not supposed to appear in this part.)</w:t>
      </w:r>
    </w:p>
    <w:p w14:paraId="1838999C" w14:textId="77777777" w:rsidR="009368B4" w:rsidRDefault="009368B4">
      <w:pPr>
        <w:adjustRightInd w:val="0"/>
        <w:snapToGrid w:val="0"/>
        <w:spacing w:line="276" w:lineRule="auto"/>
        <w:ind w:firstLineChars="100" w:firstLine="210"/>
        <w:rPr>
          <w:rFonts w:ascii="Times New Roman" w:hAnsi="Times New Roman"/>
          <w:color w:val="0000FF"/>
          <w:szCs w:val="21"/>
        </w:rPr>
      </w:pPr>
    </w:p>
    <w:p w14:paraId="4E69B37D"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2. Material and methods</w:t>
      </w:r>
    </w:p>
    <w:p w14:paraId="481796A1"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2.1</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4BFA7E9F"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2.2</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63D87552"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2.2.1</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0219C9A6" w14:textId="77777777" w:rsidR="009368B4" w:rsidRDefault="00000000">
      <w:pPr>
        <w:adjustRightInd w:val="0"/>
        <w:snapToGrid w:val="0"/>
        <w:spacing w:line="276" w:lineRule="auto"/>
        <w:rPr>
          <w:rFonts w:ascii="Times New Roman" w:eastAsia="仿宋_GB2312" w:hAnsi="Times New Roman"/>
          <w:szCs w:val="21"/>
        </w:rPr>
      </w:pPr>
      <w:r>
        <w:rPr>
          <w:rFonts w:ascii="Times New Roman" w:eastAsia="仿宋_GB2312" w:hAnsi="Times New Roman"/>
          <w:i/>
          <w:iCs/>
          <w:szCs w:val="21"/>
        </w:rPr>
        <w:t>2.2.2</w:t>
      </w:r>
      <w:r>
        <w:rPr>
          <w:rFonts w:ascii="Times New Roman" w:eastAsia="仿宋_GB2312" w:hAnsi="Times New Roman" w:hint="eastAsia"/>
          <w:i/>
          <w:iCs/>
          <w:szCs w:val="21"/>
        </w:rPr>
        <w:t>．</w:t>
      </w:r>
      <w:r>
        <w:rPr>
          <w:rFonts w:ascii="Times New Roman" w:eastAsia="仿宋_GB2312" w:hAnsi="Times New Roman"/>
          <w:szCs w:val="21"/>
        </w:rPr>
        <w:t xml:space="preserve"> </w:t>
      </w:r>
    </w:p>
    <w:p w14:paraId="32598646" w14:textId="77777777" w:rsidR="009368B4" w:rsidRDefault="009368B4">
      <w:pPr>
        <w:adjustRightInd w:val="0"/>
        <w:snapToGrid w:val="0"/>
        <w:spacing w:line="276" w:lineRule="auto"/>
        <w:rPr>
          <w:rFonts w:ascii="Times New Roman" w:eastAsia="仿宋_GB2312" w:hAnsi="Times New Roman"/>
          <w:szCs w:val="21"/>
        </w:rPr>
      </w:pPr>
    </w:p>
    <w:p w14:paraId="2F810246"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3. Theory/calculation</w:t>
      </w:r>
    </w:p>
    <w:p w14:paraId="034115EB"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3.1</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72F28DB8"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3.1.1</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5E33B246"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3.1.2</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004AFD87" w14:textId="77777777" w:rsidR="009368B4" w:rsidRDefault="00000000">
      <w:pPr>
        <w:adjustRightInd w:val="0"/>
        <w:snapToGrid w:val="0"/>
        <w:spacing w:line="276" w:lineRule="auto"/>
        <w:rPr>
          <w:rFonts w:ascii="Times New Roman" w:hAnsi="Times New Roman"/>
          <w:szCs w:val="21"/>
        </w:rPr>
      </w:pPr>
      <w:r>
        <w:rPr>
          <w:rFonts w:ascii="Times New Roman" w:eastAsia="仿宋_GB2312" w:hAnsi="Times New Roman"/>
          <w:i/>
          <w:iCs/>
          <w:szCs w:val="21"/>
        </w:rPr>
        <w:t>3.2</w:t>
      </w:r>
      <w:r>
        <w:rPr>
          <w:rFonts w:ascii="Times New Roman" w:eastAsia="仿宋_GB2312" w:hAnsi="Times New Roman" w:hint="eastAsia"/>
          <w:i/>
          <w:iCs/>
          <w:szCs w:val="21"/>
        </w:rPr>
        <w:t>．</w:t>
      </w:r>
      <w:r>
        <w:rPr>
          <w:rFonts w:ascii="Times New Roman" w:hAnsi="Times New Roman"/>
          <w:szCs w:val="21"/>
        </w:rPr>
        <w:t xml:space="preserve"> </w:t>
      </w:r>
    </w:p>
    <w:p w14:paraId="57ECCC34" w14:textId="77777777" w:rsidR="009368B4" w:rsidRDefault="009368B4">
      <w:pPr>
        <w:adjustRightInd w:val="0"/>
        <w:snapToGrid w:val="0"/>
        <w:spacing w:line="276" w:lineRule="auto"/>
        <w:rPr>
          <w:rFonts w:ascii="Times New Roman" w:hAnsi="Times New Roman"/>
          <w:color w:val="0000FF"/>
          <w:szCs w:val="21"/>
        </w:rPr>
      </w:pPr>
    </w:p>
    <w:p w14:paraId="3262CE85"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4. Results</w:t>
      </w:r>
    </w:p>
    <w:p w14:paraId="13998E33"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4.1</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04F0F1C1"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4.2</w:t>
      </w:r>
      <w:r>
        <w:rPr>
          <w:rFonts w:ascii="Times New Roman" w:eastAsia="仿宋_GB2312" w:hAnsi="Times New Roman" w:hint="eastAsia"/>
          <w:i/>
          <w:iCs/>
          <w:szCs w:val="21"/>
        </w:rPr>
        <w:t>．</w:t>
      </w:r>
      <w:r>
        <w:rPr>
          <w:rFonts w:ascii="Times New Roman" w:eastAsia="仿宋_GB2312" w:hAnsi="Times New Roman"/>
          <w:i/>
          <w:iCs/>
          <w:szCs w:val="21"/>
        </w:rPr>
        <w:t xml:space="preserve"> </w:t>
      </w:r>
    </w:p>
    <w:p w14:paraId="2A772792" w14:textId="77777777" w:rsidR="009368B4" w:rsidRDefault="00000000">
      <w:pPr>
        <w:adjustRightInd w:val="0"/>
        <w:snapToGrid w:val="0"/>
        <w:spacing w:line="276" w:lineRule="auto"/>
        <w:rPr>
          <w:rFonts w:ascii="Times New Roman" w:eastAsia="仿宋_GB2312" w:hAnsi="Times New Roman"/>
          <w:szCs w:val="21"/>
        </w:rPr>
      </w:pPr>
      <w:r>
        <w:rPr>
          <w:rFonts w:ascii="Times New Roman" w:eastAsia="仿宋_GB2312" w:hAnsi="Times New Roman"/>
          <w:i/>
          <w:iCs/>
          <w:szCs w:val="21"/>
        </w:rPr>
        <w:t>4.2.1</w:t>
      </w:r>
      <w:r>
        <w:rPr>
          <w:rFonts w:ascii="Times New Roman" w:eastAsia="仿宋_GB2312" w:hAnsi="Times New Roman" w:hint="eastAsia"/>
          <w:i/>
          <w:iCs/>
          <w:szCs w:val="21"/>
        </w:rPr>
        <w:t>．</w:t>
      </w:r>
      <w:r>
        <w:rPr>
          <w:rFonts w:ascii="Times New Roman" w:eastAsia="仿宋_GB2312" w:hAnsi="Times New Roman"/>
          <w:szCs w:val="21"/>
        </w:rPr>
        <w:t xml:space="preserve"> </w:t>
      </w:r>
    </w:p>
    <w:p w14:paraId="3835D731"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hAnsi="Times New Roman"/>
          <w:color w:val="0000FF"/>
          <w:szCs w:val="21"/>
        </w:rPr>
        <w:t xml:space="preserve">A detailed guide on electronic artwork is available on our website: </w:t>
      </w:r>
      <w:r>
        <w:rPr>
          <w:rFonts w:ascii="Times New Roman" w:hAnsi="Times New Roman"/>
          <w:b/>
          <w:color w:val="0000FF"/>
          <w:szCs w:val="21"/>
        </w:rPr>
        <w:br/>
      </w:r>
      <w:r>
        <w:rPr>
          <w:rFonts w:ascii="Times New Roman" w:hAnsi="Times New Roman"/>
          <w:b/>
          <w:noProof/>
          <w:color w:val="0000FF"/>
          <w:szCs w:val="21"/>
        </w:rPr>
        <w:drawing>
          <wp:inline distT="0" distB="0" distL="114300" distR="114300" wp14:anchorId="464DF650" wp14:editId="37EF3C65">
            <wp:extent cx="128905" cy="118110"/>
            <wp:effectExtent l="0" t="0" r="4445" b="16510"/>
            <wp:docPr id="1" name="Picture 19"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External link"/>
                    <pic:cNvPicPr>
                      <a:picLocks noChangeAspect="1"/>
                    </pic:cNvPicPr>
                  </pic:nvPicPr>
                  <pic:blipFill>
                    <a:blip r:embed="rId5"/>
                    <a:stretch>
                      <a:fillRect/>
                    </a:stretch>
                  </pic:blipFill>
                  <pic:spPr>
                    <a:xfrm>
                      <a:off x="0" y="0"/>
                      <a:ext cx="128905" cy="118110"/>
                    </a:xfrm>
                    <a:prstGeom prst="rect">
                      <a:avLst/>
                    </a:prstGeom>
                    <a:noFill/>
                    <a:ln>
                      <a:noFill/>
                    </a:ln>
                  </pic:spPr>
                </pic:pic>
              </a:graphicData>
            </a:graphic>
          </wp:inline>
        </w:drawing>
      </w:r>
      <w:hyperlink r:id="rId6" w:tgtFrame="_blank" w:history="1">
        <w:r>
          <w:rPr>
            <w:rFonts w:ascii="Times New Roman" w:hAnsi="Times New Roman"/>
            <w:b/>
            <w:szCs w:val="21"/>
          </w:rPr>
          <w:t>http://www.elsevier.com/artworkinstructions</w:t>
        </w:r>
      </w:hyperlink>
      <w:r>
        <w:rPr>
          <w:rFonts w:ascii="Times New Roman" w:hAnsi="Times New Roman"/>
          <w:b/>
          <w:color w:val="0000FF"/>
          <w:szCs w:val="21"/>
        </w:rPr>
        <w:t xml:space="preserve"> </w:t>
      </w:r>
      <w:r>
        <w:rPr>
          <w:rFonts w:ascii="Times New Roman" w:hAnsi="Times New Roman"/>
          <w:b/>
          <w:color w:val="0000FF"/>
          <w:szCs w:val="21"/>
        </w:rPr>
        <w:br/>
      </w:r>
      <w:r>
        <w:rPr>
          <w:rFonts w:ascii="Times New Roman" w:hAnsi="Times New Roman"/>
          <w:color w:val="0000FF"/>
          <w:szCs w:val="21"/>
        </w:rPr>
        <w:t xml:space="preserve">You are urged to visit this site; some excerpts from the detailed information are given here. </w:t>
      </w:r>
      <w:r>
        <w:rPr>
          <w:rFonts w:ascii="Times New Roman" w:hAnsi="Times New Roman"/>
          <w:color w:val="0000FF"/>
          <w:szCs w:val="21"/>
        </w:rPr>
        <w:br/>
        <w:t xml:space="preserve">Formats </w:t>
      </w:r>
      <w:r>
        <w:rPr>
          <w:rFonts w:ascii="Times New Roman" w:hAnsi="Times New Roman"/>
          <w:color w:val="0000FF"/>
          <w:szCs w:val="21"/>
        </w:rPr>
        <w:br/>
        <w:t xml:space="preserve">Regardless of the application used, when your electronic artwork is finalised, please "save as" or convert the images to one of the following formats (note the resolution requirements for line drawings, halftones, and line/halftone combinations given below): </w:t>
      </w:r>
      <w:r>
        <w:rPr>
          <w:rFonts w:ascii="Times New Roman" w:hAnsi="Times New Roman"/>
          <w:color w:val="0000FF"/>
          <w:szCs w:val="21"/>
        </w:rPr>
        <w:br/>
        <w:t xml:space="preserve">EPS: Vector drawings. Embed the font or save the text as "graphics". </w:t>
      </w:r>
      <w:r>
        <w:rPr>
          <w:rFonts w:ascii="Times New Roman" w:hAnsi="Times New Roman"/>
          <w:color w:val="0000FF"/>
          <w:szCs w:val="21"/>
        </w:rPr>
        <w:br/>
        <w:t xml:space="preserve">TIFF: color or grayscale photographs (halftones): always use a minimum of 300 dpi. </w:t>
      </w:r>
      <w:r>
        <w:rPr>
          <w:rFonts w:ascii="Times New Roman" w:hAnsi="Times New Roman"/>
          <w:color w:val="0000FF"/>
          <w:szCs w:val="21"/>
        </w:rPr>
        <w:br/>
        <w:t xml:space="preserve">TIFF: Bitmapped line drawings: use a minimum of 1000 dpi. </w:t>
      </w:r>
      <w:r>
        <w:rPr>
          <w:rFonts w:ascii="Times New Roman" w:hAnsi="Times New Roman"/>
          <w:color w:val="0000FF"/>
          <w:szCs w:val="21"/>
        </w:rPr>
        <w:br/>
        <w:t xml:space="preserve">TIFF: Combinations bitmapped line/half-tone (color or grayscale): a minimum of 500 dpi is required. </w:t>
      </w:r>
      <w:r>
        <w:rPr>
          <w:rFonts w:ascii="Times New Roman" w:hAnsi="Times New Roman"/>
          <w:color w:val="0000FF"/>
          <w:szCs w:val="21"/>
        </w:rPr>
        <w:br/>
        <w:t xml:space="preserve">If your electronic artwork is created in a Microsoft Office application (Word, PowerPoint, Excel) then please supply "as is". </w:t>
      </w:r>
      <w:r>
        <w:rPr>
          <w:rFonts w:ascii="Times New Roman" w:hAnsi="Times New Roman"/>
          <w:color w:val="0000FF"/>
          <w:szCs w:val="21"/>
        </w:rPr>
        <w:br/>
        <w:t xml:space="preserve">Please do not: </w:t>
      </w:r>
      <w:r>
        <w:rPr>
          <w:rFonts w:ascii="Times New Roman" w:hAnsi="Times New Roman"/>
          <w:color w:val="0000FF"/>
          <w:szCs w:val="21"/>
        </w:rPr>
        <w:br/>
        <w:t>• Supply files that are optimi</w:t>
      </w:r>
      <w:r>
        <w:rPr>
          <w:rFonts w:ascii="Times New Roman" w:hAnsi="Times New Roman" w:hint="eastAsia"/>
          <w:color w:val="0000FF"/>
          <w:szCs w:val="21"/>
        </w:rPr>
        <w:t>z</w:t>
      </w:r>
      <w:r>
        <w:rPr>
          <w:rFonts w:ascii="Times New Roman" w:hAnsi="Times New Roman"/>
          <w:color w:val="0000FF"/>
          <w:szCs w:val="21"/>
        </w:rPr>
        <w:t xml:space="preserve">ed for screen use (like GIF, BMP, PICT, WPG); the resolution is too low; </w:t>
      </w:r>
      <w:r>
        <w:rPr>
          <w:rFonts w:ascii="Times New Roman" w:hAnsi="Times New Roman"/>
          <w:color w:val="0000FF"/>
          <w:szCs w:val="21"/>
        </w:rPr>
        <w:br/>
        <w:t xml:space="preserve">• Supply files that are too low in resolution; </w:t>
      </w:r>
      <w:r>
        <w:rPr>
          <w:rFonts w:ascii="Times New Roman" w:hAnsi="Times New Roman"/>
          <w:color w:val="0000FF"/>
          <w:szCs w:val="21"/>
        </w:rPr>
        <w:br/>
        <w:t>• Submit graphics that are disproportionately large for the content.</w:t>
      </w:r>
      <w:r>
        <w:rPr>
          <w:rFonts w:ascii="Times New Roman" w:hAnsi="Times New Roman"/>
          <w:color w:val="0000FF"/>
          <w:szCs w:val="21"/>
        </w:rPr>
        <w:br/>
      </w:r>
      <w:r>
        <w:rPr>
          <w:rFonts w:ascii="Times New Roman" w:hAnsi="Times New Roman"/>
          <w:color w:val="0000FF"/>
          <w:szCs w:val="21"/>
        </w:rPr>
        <w:br/>
      </w:r>
      <w:bookmarkStart w:id="3" w:name="60000"/>
      <w:bookmarkEnd w:id="3"/>
      <w:r>
        <w:rPr>
          <w:rFonts w:ascii="Times New Roman" w:hAnsi="Times New Roman"/>
          <w:color w:val="0000FF"/>
          <w:szCs w:val="21"/>
        </w:rPr>
        <w:t xml:space="preserve">Color artwork </w:t>
      </w:r>
      <w:r>
        <w:rPr>
          <w:rFonts w:ascii="Times New Roman" w:hAnsi="Times New Roman"/>
          <w:color w:val="0000FF"/>
          <w:szCs w:val="21"/>
        </w:rPr>
        <w:br/>
        <w:t>Please make sure that artwork files are in an acceptable format (TIFF, EPS or MS Office files) and with the correct resolution. If, together with your accepted article, you submit usable color figures then Elsevier will ensure, at no additional charge, that these figures will appear in color on the Web (e.g., ScienceDirect and other sites) regardless of whether or not these illustrations are reproduced in color in the printed version.</w:t>
      </w:r>
    </w:p>
    <w:p w14:paraId="048D53C3" w14:textId="77777777" w:rsidR="009368B4" w:rsidRDefault="00000000">
      <w:pPr>
        <w:autoSpaceDE w:val="0"/>
        <w:autoSpaceDN w:val="0"/>
        <w:adjustRightInd w:val="0"/>
        <w:spacing w:line="276" w:lineRule="auto"/>
        <w:jc w:val="center"/>
        <w:rPr>
          <w:rFonts w:ascii="Times New Roman" w:hAnsi="Times New Roman"/>
          <w:b/>
          <w:szCs w:val="21"/>
        </w:rPr>
      </w:pPr>
      <w:bookmarkStart w:id="4" w:name="OLE_LINK33"/>
      <w:r>
        <w:rPr>
          <w:rFonts w:ascii="Times New Roman" w:hAnsi="Times New Roman"/>
          <w:b/>
          <w:noProof/>
          <w:szCs w:val="21"/>
        </w:rPr>
        <w:lastRenderedPageBreak/>
        <w:drawing>
          <wp:inline distT="0" distB="0" distL="114300" distR="114300" wp14:anchorId="6FECC6A8" wp14:editId="698DFE4F">
            <wp:extent cx="2650490" cy="1897380"/>
            <wp:effectExtent l="0" t="0" r="16510" b="762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2650490" cy="1897380"/>
                    </a:xfrm>
                    <a:prstGeom prst="rect">
                      <a:avLst/>
                    </a:prstGeom>
                    <a:noFill/>
                    <a:ln>
                      <a:noFill/>
                    </a:ln>
                  </pic:spPr>
                </pic:pic>
              </a:graphicData>
            </a:graphic>
          </wp:inline>
        </w:drawing>
      </w:r>
    </w:p>
    <w:p w14:paraId="3CD314F7" w14:textId="77777777" w:rsidR="009368B4" w:rsidRDefault="00000000">
      <w:pPr>
        <w:pStyle w:val="a3"/>
        <w:spacing w:line="276" w:lineRule="auto"/>
        <w:jc w:val="center"/>
        <w:rPr>
          <w:rFonts w:ascii="Times New Roman" w:hAnsi="Times New Roman"/>
          <w:bCs/>
          <w:i w:val="0"/>
          <w:sz w:val="21"/>
          <w:szCs w:val="21"/>
        </w:rPr>
      </w:pPr>
      <w:r>
        <w:rPr>
          <w:rFonts w:ascii="Times New Roman" w:hAnsi="Times New Roman"/>
          <w:bCs/>
          <w:i w:val="0"/>
          <w:sz w:val="21"/>
          <w:szCs w:val="21"/>
        </w:rPr>
        <w:t>Fig</w:t>
      </w:r>
      <w:r>
        <w:rPr>
          <w:rFonts w:ascii="Times New Roman" w:hAnsi="Times New Roman"/>
          <w:bCs/>
          <w:i w:val="0"/>
          <w:sz w:val="21"/>
          <w:szCs w:val="21"/>
          <w:lang w:eastAsia="zh-CN"/>
        </w:rPr>
        <w:t>.</w:t>
      </w:r>
      <w:r>
        <w:rPr>
          <w:rFonts w:ascii="Times New Roman" w:hAnsi="Times New Roman"/>
          <w:bCs/>
          <w:i w:val="0"/>
          <w:sz w:val="21"/>
          <w:szCs w:val="21"/>
        </w:rPr>
        <w:t xml:space="preserve"> 2.</w:t>
      </w:r>
      <w:r>
        <w:rPr>
          <w:rFonts w:ascii="Times New Roman" w:hAnsi="Times New Roman"/>
          <w:b/>
          <w:i w:val="0"/>
          <w:sz w:val="21"/>
          <w:szCs w:val="21"/>
        </w:rPr>
        <w:t xml:space="preserve"> </w:t>
      </w:r>
      <w:r>
        <w:rPr>
          <w:rFonts w:ascii="Times New Roman" w:hAnsi="Times New Roman"/>
          <w:bCs/>
          <w:i w:val="0"/>
          <w:sz w:val="21"/>
          <w:szCs w:val="21"/>
        </w:rPr>
        <w:t xml:space="preserve">Non-linear probability weighting function. </w:t>
      </w:r>
    </w:p>
    <w:p w14:paraId="08D81942" w14:textId="77777777" w:rsidR="009368B4" w:rsidRDefault="009368B4">
      <w:pPr>
        <w:rPr>
          <w:rFonts w:ascii="Times New Roman" w:hAnsi="Times New Roman"/>
          <w:sz w:val="24"/>
          <w:szCs w:val="32"/>
          <w:lang w:val="en-AU" w:eastAsia="en-US"/>
        </w:rPr>
      </w:pPr>
    </w:p>
    <w:bookmarkEnd w:id="4"/>
    <w:p w14:paraId="654D9E10" w14:textId="77777777" w:rsidR="009368B4" w:rsidRDefault="009368B4">
      <w:pPr>
        <w:spacing w:line="276" w:lineRule="auto"/>
        <w:rPr>
          <w:rFonts w:ascii="Times New Roman" w:eastAsia="仿宋_GB2312" w:hAnsi="Times New Roman"/>
          <w:szCs w:val="21"/>
          <w:lang w:val="en-AU"/>
        </w:rPr>
      </w:pPr>
    </w:p>
    <w:p w14:paraId="6DB5C8A4" w14:textId="77777777" w:rsidR="009368B4" w:rsidRDefault="00000000">
      <w:pPr>
        <w:pStyle w:val="a3"/>
        <w:spacing w:line="276" w:lineRule="auto"/>
        <w:jc w:val="center"/>
        <w:rPr>
          <w:rFonts w:ascii="Times New Roman" w:hAnsi="Times New Roman"/>
          <w:b/>
          <w:i w:val="0"/>
          <w:sz w:val="21"/>
          <w:szCs w:val="21"/>
          <w:lang w:val="en-US" w:eastAsia="zh-CN"/>
        </w:rPr>
      </w:pPr>
      <w:r>
        <w:rPr>
          <w:rFonts w:ascii="Times New Roman" w:hAnsi="Times New Roman"/>
          <w:bCs/>
          <w:i w:val="0"/>
          <w:sz w:val="21"/>
          <w:szCs w:val="21"/>
        </w:rPr>
        <w:t>Table 1. The AS_EEUT MMNL model (assuming belief neutrality)</w:t>
      </w:r>
      <w:r>
        <w:rPr>
          <w:rFonts w:ascii="Times New Roman" w:hAnsi="Times New Roman"/>
          <w:bCs/>
          <w:i w:val="0"/>
          <w:sz w:val="21"/>
          <w:szCs w:val="21"/>
          <w:lang w:val="en-US" w:eastAsia="zh-CN"/>
        </w:rPr>
        <w:t>.</w:t>
      </w:r>
    </w:p>
    <w:tbl>
      <w:tblPr>
        <w:tblW w:w="7150" w:type="dxa"/>
        <w:jc w:val="center"/>
        <w:tblLayout w:type="fixed"/>
        <w:tblCellMar>
          <w:left w:w="0" w:type="dxa"/>
          <w:right w:w="0" w:type="dxa"/>
        </w:tblCellMar>
        <w:tblLook w:val="04A0" w:firstRow="1" w:lastRow="0" w:firstColumn="1" w:lastColumn="0" w:noHBand="0" w:noVBand="1"/>
      </w:tblPr>
      <w:tblGrid>
        <w:gridCol w:w="12"/>
        <w:gridCol w:w="3460"/>
        <w:gridCol w:w="1036"/>
        <w:gridCol w:w="1003"/>
        <w:gridCol w:w="466"/>
        <w:gridCol w:w="703"/>
        <w:gridCol w:w="470"/>
      </w:tblGrid>
      <w:tr w:rsidR="009368B4" w14:paraId="7D58E81E" w14:textId="77777777">
        <w:trPr>
          <w:gridBefore w:val="1"/>
          <w:wBefore w:w="13" w:type="dxa"/>
          <w:trHeight w:val="237"/>
          <w:jc w:val="center"/>
        </w:trPr>
        <w:tc>
          <w:tcPr>
            <w:tcW w:w="4496" w:type="dxa"/>
            <w:gridSpan w:val="2"/>
            <w:tcBorders>
              <w:top w:val="single" w:sz="12" w:space="0" w:color="auto"/>
              <w:bottom w:val="single" w:sz="12" w:space="0" w:color="auto"/>
            </w:tcBorders>
            <w:tcMar>
              <w:top w:w="15" w:type="dxa"/>
              <w:left w:w="15" w:type="dxa"/>
              <w:bottom w:w="0" w:type="dxa"/>
              <w:right w:w="15" w:type="dxa"/>
            </w:tcMar>
            <w:vAlign w:val="bottom"/>
          </w:tcPr>
          <w:p w14:paraId="71DF2CF1" w14:textId="77777777" w:rsidR="009368B4" w:rsidRDefault="00000000">
            <w:pPr>
              <w:spacing w:line="276" w:lineRule="auto"/>
              <w:jc w:val="left"/>
              <w:rPr>
                <w:rFonts w:ascii="Times New Roman" w:hAnsi="Times New Roman"/>
                <w:sz w:val="18"/>
                <w:szCs w:val="18"/>
                <w:lang w:eastAsia="fr-FR"/>
              </w:rPr>
            </w:pPr>
            <w:r>
              <w:rPr>
                <w:rFonts w:ascii="Times New Roman" w:hAnsi="Times New Roman"/>
                <w:sz w:val="18"/>
                <w:szCs w:val="18"/>
                <w:lang w:eastAsia="fr-FR"/>
              </w:rPr>
              <w:t>Variable</w:t>
            </w:r>
          </w:p>
        </w:tc>
        <w:tc>
          <w:tcPr>
            <w:tcW w:w="1469" w:type="dxa"/>
            <w:gridSpan w:val="2"/>
            <w:tcBorders>
              <w:top w:val="single" w:sz="12" w:space="0" w:color="auto"/>
              <w:bottom w:val="single" w:sz="12" w:space="0" w:color="auto"/>
            </w:tcBorders>
            <w:tcMar>
              <w:top w:w="15" w:type="dxa"/>
              <w:left w:w="15" w:type="dxa"/>
              <w:bottom w:w="0" w:type="dxa"/>
              <w:right w:w="15" w:type="dxa"/>
            </w:tcMar>
            <w:vAlign w:val="bottom"/>
          </w:tcPr>
          <w:p w14:paraId="19CC1303" w14:textId="77777777" w:rsidR="009368B4" w:rsidRDefault="00000000">
            <w:pPr>
              <w:spacing w:line="276" w:lineRule="auto"/>
              <w:jc w:val="left"/>
              <w:rPr>
                <w:rFonts w:ascii="Times New Roman" w:hAnsi="Times New Roman"/>
                <w:sz w:val="18"/>
                <w:szCs w:val="18"/>
                <w:lang w:eastAsia="fr-FR"/>
              </w:rPr>
            </w:pPr>
            <w:r>
              <w:rPr>
                <w:rFonts w:ascii="Times New Roman" w:hAnsi="Times New Roman"/>
                <w:sz w:val="18"/>
                <w:szCs w:val="18"/>
                <w:lang w:eastAsia="fr-FR"/>
              </w:rPr>
              <w:t>Coefficient</w:t>
            </w:r>
          </w:p>
        </w:tc>
        <w:tc>
          <w:tcPr>
            <w:tcW w:w="1172" w:type="dxa"/>
            <w:gridSpan w:val="2"/>
            <w:tcBorders>
              <w:top w:val="single" w:sz="12" w:space="0" w:color="auto"/>
              <w:bottom w:val="single" w:sz="12" w:space="0" w:color="auto"/>
            </w:tcBorders>
            <w:tcMar>
              <w:top w:w="15" w:type="dxa"/>
              <w:left w:w="15" w:type="dxa"/>
              <w:bottom w:w="0" w:type="dxa"/>
              <w:right w:w="15" w:type="dxa"/>
            </w:tcMar>
            <w:vAlign w:val="bottom"/>
          </w:tcPr>
          <w:p w14:paraId="45021E80" w14:textId="77777777" w:rsidR="009368B4" w:rsidRDefault="00000000">
            <w:pPr>
              <w:spacing w:line="276" w:lineRule="auto"/>
              <w:jc w:val="left"/>
              <w:rPr>
                <w:rFonts w:ascii="Times New Roman" w:hAnsi="Times New Roman"/>
                <w:i/>
                <w:iCs/>
                <w:sz w:val="18"/>
                <w:szCs w:val="18"/>
                <w:lang w:eastAsia="fr-FR"/>
              </w:rPr>
            </w:pPr>
            <w:r>
              <w:rPr>
                <w:rFonts w:ascii="Times New Roman" w:hAnsi="Times New Roman"/>
                <w:i/>
                <w:iCs/>
                <w:sz w:val="18"/>
                <w:szCs w:val="18"/>
                <w:lang w:eastAsia="fr-FR"/>
              </w:rPr>
              <w:t>t-Ratio</w:t>
            </w:r>
          </w:p>
        </w:tc>
      </w:tr>
      <w:tr w:rsidR="009368B4" w14:paraId="2DB29555" w14:textId="77777777">
        <w:trPr>
          <w:gridAfter w:val="1"/>
          <w:wAfter w:w="469" w:type="dxa"/>
          <w:trHeight w:val="260"/>
          <w:jc w:val="center"/>
        </w:trPr>
        <w:tc>
          <w:tcPr>
            <w:tcW w:w="6681" w:type="dxa"/>
            <w:gridSpan w:val="6"/>
            <w:tcBorders>
              <w:top w:val="single" w:sz="12" w:space="0" w:color="auto"/>
              <w:bottom w:val="single" w:sz="4" w:space="0" w:color="auto"/>
            </w:tcBorders>
            <w:tcMar>
              <w:top w:w="15" w:type="dxa"/>
              <w:left w:w="15" w:type="dxa"/>
              <w:bottom w:w="0" w:type="dxa"/>
              <w:right w:w="15" w:type="dxa"/>
            </w:tcMar>
          </w:tcPr>
          <w:p w14:paraId="56CDBC03" w14:textId="77777777" w:rsidR="009368B4" w:rsidRDefault="00000000">
            <w:pPr>
              <w:spacing w:line="276" w:lineRule="auto"/>
              <w:jc w:val="left"/>
              <w:rPr>
                <w:rFonts w:ascii="Times New Roman" w:hAnsi="Times New Roman"/>
                <w:i/>
                <w:iCs/>
                <w:sz w:val="18"/>
                <w:szCs w:val="18"/>
              </w:rPr>
            </w:pPr>
            <w:r>
              <w:rPr>
                <w:rFonts w:ascii="Times New Roman" w:hAnsi="Times New Roman"/>
                <w:i/>
                <w:iCs/>
                <w:sz w:val="18"/>
                <w:szCs w:val="18"/>
                <w:lang w:bidi="th-TH"/>
              </w:rPr>
              <w:t>Nonrandom parameters:</w:t>
            </w:r>
          </w:p>
        </w:tc>
      </w:tr>
      <w:tr w:rsidR="009368B4" w14:paraId="7142894A" w14:textId="77777777">
        <w:trPr>
          <w:gridAfter w:val="1"/>
          <w:wAfter w:w="470" w:type="dxa"/>
          <w:trHeight w:val="154"/>
          <w:jc w:val="center"/>
        </w:trPr>
        <w:tc>
          <w:tcPr>
            <w:tcW w:w="3473" w:type="dxa"/>
            <w:gridSpan w:val="2"/>
            <w:tcBorders>
              <w:top w:val="single" w:sz="4" w:space="0" w:color="auto"/>
            </w:tcBorders>
            <w:tcMar>
              <w:top w:w="15" w:type="dxa"/>
              <w:left w:w="15" w:type="dxa"/>
              <w:bottom w:w="0" w:type="dxa"/>
              <w:right w:w="15" w:type="dxa"/>
            </w:tcMar>
          </w:tcPr>
          <w:p w14:paraId="3717BA57"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Reference constant</w:t>
            </w:r>
          </w:p>
        </w:tc>
        <w:tc>
          <w:tcPr>
            <w:tcW w:w="2039" w:type="dxa"/>
            <w:gridSpan w:val="2"/>
            <w:tcBorders>
              <w:top w:val="single" w:sz="4" w:space="0" w:color="auto"/>
            </w:tcBorders>
            <w:tcMar>
              <w:top w:w="15" w:type="dxa"/>
              <w:left w:w="15" w:type="dxa"/>
              <w:bottom w:w="0" w:type="dxa"/>
              <w:right w:w="15" w:type="dxa"/>
            </w:tcMar>
          </w:tcPr>
          <w:p w14:paraId="24547AFE"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0.6406</w:t>
            </w:r>
          </w:p>
        </w:tc>
        <w:tc>
          <w:tcPr>
            <w:tcW w:w="1168" w:type="dxa"/>
            <w:gridSpan w:val="2"/>
            <w:tcBorders>
              <w:top w:val="single" w:sz="4" w:space="0" w:color="auto"/>
            </w:tcBorders>
            <w:tcMar>
              <w:top w:w="15" w:type="dxa"/>
              <w:left w:w="15" w:type="dxa"/>
              <w:bottom w:w="0" w:type="dxa"/>
              <w:right w:w="15" w:type="dxa"/>
            </w:tcMar>
          </w:tcPr>
          <w:p w14:paraId="57FF1E84"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4.51</w:t>
            </w:r>
          </w:p>
        </w:tc>
      </w:tr>
      <w:tr w:rsidR="009368B4" w14:paraId="24457F97" w14:textId="77777777">
        <w:trPr>
          <w:gridAfter w:val="1"/>
          <w:wAfter w:w="470" w:type="dxa"/>
          <w:trHeight w:val="260"/>
          <w:jc w:val="center"/>
        </w:trPr>
        <w:tc>
          <w:tcPr>
            <w:tcW w:w="3473" w:type="dxa"/>
            <w:gridSpan w:val="2"/>
            <w:tcMar>
              <w:top w:w="15" w:type="dxa"/>
              <w:left w:w="15" w:type="dxa"/>
              <w:bottom w:w="0" w:type="dxa"/>
              <w:right w:w="15" w:type="dxa"/>
            </w:tcMar>
          </w:tcPr>
          <w:p w14:paraId="2099C5D5"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Cost ($)</w:t>
            </w:r>
          </w:p>
        </w:tc>
        <w:tc>
          <w:tcPr>
            <w:tcW w:w="2039" w:type="dxa"/>
            <w:gridSpan w:val="2"/>
            <w:tcMar>
              <w:top w:w="15" w:type="dxa"/>
              <w:left w:w="15" w:type="dxa"/>
              <w:bottom w:w="0" w:type="dxa"/>
              <w:right w:w="15" w:type="dxa"/>
            </w:tcMar>
          </w:tcPr>
          <w:p w14:paraId="46475039"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0.3887</w:t>
            </w:r>
          </w:p>
        </w:tc>
        <w:tc>
          <w:tcPr>
            <w:tcW w:w="1168" w:type="dxa"/>
            <w:gridSpan w:val="2"/>
            <w:tcMar>
              <w:top w:w="15" w:type="dxa"/>
              <w:left w:w="15" w:type="dxa"/>
              <w:bottom w:w="0" w:type="dxa"/>
              <w:right w:w="15" w:type="dxa"/>
            </w:tcMar>
          </w:tcPr>
          <w:p w14:paraId="38DD7E5D"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9.62</w:t>
            </w:r>
          </w:p>
        </w:tc>
      </w:tr>
      <w:tr w:rsidR="009368B4" w14:paraId="7373E75B" w14:textId="77777777">
        <w:trPr>
          <w:gridAfter w:val="1"/>
          <w:wAfter w:w="470" w:type="dxa"/>
          <w:trHeight w:val="260"/>
          <w:jc w:val="center"/>
        </w:trPr>
        <w:tc>
          <w:tcPr>
            <w:tcW w:w="3473" w:type="dxa"/>
            <w:gridSpan w:val="2"/>
            <w:tcMar>
              <w:top w:w="15" w:type="dxa"/>
              <w:left w:w="15" w:type="dxa"/>
              <w:bottom w:w="0" w:type="dxa"/>
              <w:right w:w="15" w:type="dxa"/>
            </w:tcMar>
          </w:tcPr>
          <w:p w14:paraId="193C9A7A" w14:textId="77777777" w:rsidR="009368B4" w:rsidRDefault="00000000">
            <w:pPr>
              <w:spacing w:line="276" w:lineRule="auto"/>
              <w:jc w:val="left"/>
              <w:rPr>
                <w:rFonts w:ascii="Times New Roman" w:hAnsi="Times New Roman"/>
                <w:sz w:val="18"/>
                <w:szCs w:val="18"/>
              </w:rPr>
            </w:pPr>
            <w:r>
              <w:rPr>
                <w:rFonts w:ascii="Times New Roman" w:hAnsi="Times New Roman"/>
                <w:bCs/>
                <w:sz w:val="18"/>
                <w:szCs w:val="18"/>
              </w:rPr>
              <w:t>Tollasc</w:t>
            </w:r>
          </w:p>
        </w:tc>
        <w:tc>
          <w:tcPr>
            <w:tcW w:w="2039" w:type="dxa"/>
            <w:gridSpan w:val="2"/>
            <w:tcMar>
              <w:top w:w="15" w:type="dxa"/>
              <w:left w:w="15" w:type="dxa"/>
              <w:bottom w:w="0" w:type="dxa"/>
              <w:right w:w="15" w:type="dxa"/>
            </w:tcMar>
          </w:tcPr>
          <w:p w14:paraId="44FEECE6"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0.4259</w:t>
            </w:r>
          </w:p>
        </w:tc>
        <w:tc>
          <w:tcPr>
            <w:tcW w:w="1168" w:type="dxa"/>
            <w:gridSpan w:val="2"/>
            <w:tcMar>
              <w:top w:w="15" w:type="dxa"/>
              <w:left w:w="15" w:type="dxa"/>
              <w:bottom w:w="0" w:type="dxa"/>
              <w:right w:w="15" w:type="dxa"/>
            </w:tcMar>
          </w:tcPr>
          <w:p w14:paraId="02D2FE56"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2.65</w:t>
            </w:r>
          </w:p>
        </w:tc>
      </w:tr>
      <w:tr w:rsidR="009368B4" w14:paraId="0CA865CB" w14:textId="77777777">
        <w:trPr>
          <w:gridAfter w:val="1"/>
          <w:wAfter w:w="470" w:type="dxa"/>
          <w:trHeight w:val="257"/>
          <w:jc w:val="center"/>
        </w:trPr>
        <w:tc>
          <w:tcPr>
            <w:tcW w:w="3473" w:type="dxa"/>
            <w:gridSpan w:val="2"/>
            <w:tcBorders>
              <w:bottom w:val="single" w:sz="4" w:space="0" w:color="auto"/>
            </w:tcBorders>
            <w:tcMar>
              <w:top w:w="15" w:type="dxa"/>
              <w:left w:w="15" w:type="dxa"/>
              <w:bottom w:w="0" w:type="dxa"/>
              <w:right w:w="15" w:type="dxa"/>
            </w:tcMar>
          </w:tcPr>
          <w:p w14:paraId="407F7E27"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Age (years, reference (first) alternative only)</w:t>
            </w:r>
          </w:p>
        </w:tc>
        <w:tc>
          <w:tcPr>
            <w:tcW w:w="2039" w:type="dxa"/>
            <w:gridSpan w:val="2"/>
            <w:tcBorders>
              <w:bottom w:val="single" w:sz="4" w:space="0" w:color="auto"/>
            </w:tcBorders>
            <w:tcMar>
              <w:top w:w="15" w:type="dxa"/>
              <w:left w:w="15" w:type="dxa"/>
              <w:bottom w:w="0" w:type="dxa"/>
              <w:right w:w="15" w:type="dxa"/>
            </w:tcMar>
          </w:tcPr>
          <w:p w14:paraId="761784E4"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0.0174</w:t>
            </w:r>
          </w:p>
        </w:tc>
        <w:tc>
          <w:tcPr>
            <w:tcW w:w="1168" w:type="dxa"/>
            <w:gridSpan w:val="2"/>
            <w:tcBorders>
              <w:bottom w:val="single" w:sz="4" w:space="0" w:color="auto"/>
            </w:tcBorders>
            <w:tcMar>
              <w:top w:w="15" w:type="dxa"/>
              <w:left w:w="15" w:type="dxa"/>
              <w:bottom w:w="0" w:type="dxa"/>
              <w:right w:w="15" w:type="dxa"/>
            </w:tcMar>
          </w:tcPr>
          <w:p w14:paraId="7F522027"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6.25</w:t>
            </w:r>
          </w:p>
        </w:tc>
      </w:tr>
      <w:tr w:rsidR="009368B4" w14:paraId="7CA67D72" w14:textId="77777777">
        <w:trPr>
          <w:gridAfter w:val="1"/>
          <w:wAfter w:w="469" w:type="dxa"/>
          <w:trHeight w:val="260"/>
          <w:jc w:val="center"/>
        </w:trPr>
        <w:tc>
          <w:tcPr>
            <w:tcW w:w="6681" w:type="dxa"/>
            <w:gridSpan w:val="6"/>
            <w:tcBorders>
              <w:top w:val="single" w:sz="4" w:space="0" w:color="auto"/>
              <w:bottom w:val="single" w:sz="4" w:space="0" w:color="auto"/>
            </w:tcBorders>
            <w:tcMar>
              <w:top w:w="15" w:type="dxa"/>
              <w:left w:w="15" w:type="dxa"/>
              <w:bottom w:w="0" w:type="dxa"/>
              <w:right w:w="15" w:type="dxa"/>
            </w:tcMar>
          </w:tcPr>
          <w:p w14:paraId="3355C655" w14:textId="77777777" w:rsidR="009368B4" w:rsidRDefault="00000000">
            <w:pPr>
              <w:spacing w:line="276" w:lineRule="auto"/>
              <w:jc w:val="left"/>
              <w:rPr>
                <w:rFonts w:ascii="Times New Roman" w:hAnsi="Times New Roman"/>
                <w:i/>
                <w:iCs/>
                <w:sz w:val="18"/>
                <w:szCs w:val="18"/>
              </w:rPr>
            </w:pPr>
            <w:r>
              <w:rPr>
                <w:rFonts w:ascii="Times New Roman" w:hAnsi="Times New Roman"/>
                <w:i/>
                <w:iCs/>
                <w:sz w:val="18"/>
                <w:szCs w:val="18"/>
                <w:lang w:bidi="th-TH"/>
              </w:rPr>
              <w:t>Means for random parameters:</w:t>
            </w:r>
          </w:p>
        </w:tc>
      </w:tr>
      <w:tr w:rsidR="009368B4" w14:paraId="02018005" w14:textId="77777777">
        <w:trPr>
          <w:gridAfter w:val="1"/>
          <w:wAfter w:w="470" w:type="dxa"/>
          <w:trHeight w:val="260"/>
          <w:jc w:val="center"/>
        </w:trPr>
        <w:tc>
          <w:tcPr>
            <w:tcW w:w="3473" w:type="dxa"/>
            <w:gridSpan w:val="2"/>
            <w:tcBorders>
              <w:top w:val="single" w:sz="4" w:space="0" w:color="auto"/>
            </w:tcBorders>
            <w:tcMar>
              <w:top w:w="15" w:type="dxa"/>
              <w:left w:w="15" w:type="dxa"/>
              <w:bottom w:w="0" w:type="dxa"/>
              <w:right w:w="15" w:type="dxa"/>
            </w:tcMar>
          </w:tcPr>
          <w:p w14:paraId="1A278510"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Alpha (</w:t>
            </w:r>
            <w:r>
              <w:rPr>
                <w:rFonts w:ascii="Times New Roman" w:hAnsi="Times New Roman"/>
                <w:sz w:val="18"/>
                <w:szCs w:val="18"/>
              </w:rPr>
              <w:sym w:font="Symbol" w:char="F061"/>
            </w:r>
            <w:r>
              <w:rPr>
                <w:rFonts w:ascii="Times New Roman" w:hAnsi="Times New Roman"/>
                <w:sz w:val="18"/>
                <w:szCs w:val="18"/>
              </w:rPr>
              <w:t>)</w:t>
            </w:r>
          </w:p>
        </w:tc>
        <w:tc>
          <w:tcPr>
            <w:tcW w:w="2039" w:type="dxa"/>
            <w:gridSpan w:val="2"/>
            <w:tcBorders>
              <w:top w:val="single" w:sz="4" w:space="0" w:color="auto"/>
            </w:tcBorders>
            <w:tcMar>
              <w:top w:w="15" w:type="dxa"/>
              <w:left w:w="15" w:type="dxa"/>
              <w:bottom w:w="0" w:type="dxa"/>
              <w:right w:w="15" w:type="dxa"/>
            </w:tcMar>
          </w:tcPr>
          <w:p w14:paraId="79287A05"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0.7174</w:t>
            </w:r>
          </w:p>
        </w:tc>
        <w:tc>
          <w:tcPr>
            <w:tcW w:w="1168" w:type="dxa"/>
            <w:gridSpan w:val="2"/>
            <w:tcBorders>
              <w:top w:val="single" w:sz="4" w:space="0" w:color="auto"/>
            </w:tcBorders>
            <w:tcMar>
              <w:top w:w="15" w:type="dxa"/>
              <w:left w:w="15" w:type="dxa"/>
              <w:bottom w:w="0" w:type="dxa"/>
              <w:right w:w="15" w:type="dxa"/>
            </w:tcMar>
          </w:tcPr>
          <w:p w14:paraId="20DE0F66"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94.94</w:t>
            </w:r>
          </w:p>
        </w:tc>
      </w:tr>
      <w:tr w:rsidR="009368B4" w14:paraId="020BA236" w14:textId="77777777">
        <w:trPr>
          <w:gridAfter w:val="1"/>
          <w:wAfter w:w="470" w:type="dxa"/>
          <w:trHeight w:val="275"/>
          <w:jc w:val="center"/>
        </w:trPr>
        <w:tc>
          <w:tcPr>
            <w:tcW w:w="3473" w:type="dxa"/>
            <w:gridSpan w:val="2"/>
            <w:tcMar>
              <w:top w:w="15" w:type="dxa"/>
              <w:left w:w="15" w:type="dxa"/>
              <w:bottom w:w="0" w:type="dxa"/>
              <w:right w:w="15" w:type="dxa"/>
            </w:tcMar>
          </w:tcPr>
          <w:p w14:paraId="0E98E9A1"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Probability weighted travel time (minutes)</w:t>
            </w:r>
          </w:p>
        </w:tc>
        <w:tc>
          <w:tcPr>
            <w:tcW w:w="2039" w:type="dxa"/>
            <w:gridSpan w:val="2"/>
            <w:tcMar>
              <w:top w:w="15" w:type="dxa"/>
              <w:left w:w="15" w:type="dxa"/>
              <w:bottom w:w="0" w:type="dxa"/>
              <w:right w:w="15" w:type="dxa"/>
            </w:tcMar>
          </w:tcPr>
          <w:p w14:paraId="1B47869B"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1.3095</w:t>
            </w:r>
          </w:p>
        </w:tc>
        <w:tc>
          <w:tcPr>
            <w:tcW w:w="1168" w:type="dxa"/>
            <w:gridSpan w:val="2"/>
            <w:tcMar>
              <w:top w:w="15" w:type="dxa"/>
              <w:left w:w="15" w:type="dxa"/>
              <w:bottom w:w="0" w:type="dxa"/>
              <w:right w:w="15" w:type="dxa"/>
            </w:tcMar>
          </w:tcPr>
          <w:p w14:paraId="2203ACDF" w14:textId="77777777" w:rsidR="009368B4" w:rsidRDefault="00000000">
            <w:pPr>
              <w:spacing w:line="276" w:lineRule="auto"/>
              <w:jc w:val="center"/>
              <w:rPr>
                <w:rFonts w:ascii="Times New Roman" w:hAnsi="Times New Roman"/>
                <w:sz w:val="18"/>
                <w:szCs w:val="18"/>
              </w:rPr>
            </w:pPr>
            <w:r>
              <w:rPr>
                <w:rFonts w:ascii="Times New Roman" w:hAnsi="Times New Roman"/>
                <w:color w:val="000000"/>
                <w:lang w:eastAsia="zh-Hans"/>
              </w:rPr>
              <w:t>−</w:t>
            </w:r>
            <w:r>
              <w:rPr>
                <w:rFonts w:ascii="Times New Roman" w:hAnsi="Times New Roman"/>
                <w:sz w:val="18"/>
                <w:szCs w:val="18"/>
              </w:rPr>
              <w:t>47.22</w:t>
            </w:r>
          </w:p>
        </w:tc>
      </w:tr>
      <w:tr w:rsidR="009368B4" w14:paraId="1496BCC3" w14:textId="77777777">
        <w:trPr>
          <w:gridAfter w:val="1"/>
          <w:wAfter w:w="469" w:type="dxa"/>
          <w:trHeight w:val="260"/>
          <w:jc w:val="center"/>
        </w:trPr>
        <w:tc>
          <w:tcPr>
            <w:tcW w:w="6681" w:type="dxa"/>
            <w:gridSpan w:val="6"/>
            <w:tcBorders>
              <w:top w:val="single" w:sz="4" w:space="0" w:color="auto"/>
              <w:bottom w:val="single" w:sz="4" w:space="0" w:color="auto"/>
            </w:tcBorders>
            <w:tcMar>
              <w:top w:w="15" w:type="dxa"/>
              <w:left w:w="15" w:type="dxa"/>
              <w:bottom w:w="0" w:type="dxa"/>
              <w:right w:w="15" w:type="dxa"/>
            </w:tcMar>
          </w:tcPr>
          <w:p w14:paraId="135A91C4" w14:textId="77777777" w:rsidR="009368B4" w:rsidRDefault="00000000">
            <w:pPr>
              <w:spacing w:line="276" w:lineRule="auto"/>
              <w:jc w:val="left"/>
              <w:rPr>
                <w:rFonts w:ascii="Times New Roman" w:hAnsi="Times New Roman"/>
                <w:i/>
                <w:iCs/>
                <w:sz w:val="18"/>
                <w:szCs w:val="18"/>
              </w:rPr>
            </w:pPr>
            <w:r>
              <w:rPr>
                <w:rFonts w:ascii="Times New Roman" w:hAnsi="Times New Roman"/>
                <w:i/>
                <w:iCs/>
                <w:sz w:val="18"/>
                <w:szCs w:val="18"/>
                <w:lang w:bidi="th-TH"/>
              </w:rPr>
              <w:t>Standard deviations for random parameters:</w:t>
            </w:r>
          </w:p>
        </w:tc>
      </w:tr>
      <w:tr w:rsidR="009368B4" w14:paraId="254C0C8F" w14:textId="77777777">
        <w:trPr>
          <w:gridAfter w:val="1"/>
          <w:wAfter w:w="470" w:type="dxa"/>
          <w:trHeight w:val="260"/>
          <w:jc w:val="center"/>
        </w:trPr>
        <w:tc>
          <w:tcPr>
            <w:tcW w:w="3473" w:type="dxa"/>
            <w:gridSpan w:val="2"/>
            <w:tcBorders>
              <w:top w:val="single" w:sz="4" w:space="0" w:color="auto"/>
            </w:tcBorders>
            <w:tcMar>
              <w:top w:w="15" w:type="dxa"/>
              <w:left w:w="15" w:type="dxa"/>
              <w:bottom w:w="0" w:type="dxa"/>
              <w:right w:w="15" w:type="dxa"/>
            </w:tcMar>
          </w:tcPr>
          <w:p w14:paraId="75D443ED"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Alpha (</w:t>
            </w:r>
            <w:r>
              <w:rPr>
                <w:rFonts w:ascii="Times New Roman" w:hAnsi="Times New Roman"/>
                <w:sz w:val="18"/>
                <w:szCs w:val="18"/>
              </w:rPr>
              <w:sym w:font="Symbol" w:char="F061"/>
            </w:r>
            <w:r>
              <w:rPr>
                <w:rFonts w:ascii="Times New Roman" w:hAnsi="Times New Roman"/>
                <w:sz w:val="18"/>
                <w:szCs w:val="18"/>
              </w:rPr>
              <w:t>)</w:t>
            </w:r>
          </w:p>
        </w:tc>
        <w:tc>
          <w:tcPr>
            <w:tcW w:w="2039" w:type="dxa"/>
            <w:gridSpan w:val="2"/>
            <w:tcBorders>
              <w:top w:val="single" w:sz="4" w:space="0" w:color="auto"/>
            </w:tcBorders>
            <w:tcMar>
              <w:top w:w="15" w:type="dxa"/>
              <w:left w:w="15" w:type="dxa"/>
              <w:bottom w:w="0" w:type="dxa"/>
              <w:right w:w="15" w:type="dxa"/>
            </w:tcMar>
          </w:tcPr>
          <w:p w14:paraId="6B3ED90D"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0.3444</w:t>
            </w:r>
          </w:p>
        </w:tc>
        <w:tc>
          <w:tcPr>
            <w:tcW w:w="1168" w:type="dxa"/>
            <w:gridSpan w:val="2"/>
            <w:tcBorders>
              <w:top w:val="single" w:sz="4" w:space="0" w:color="auto"/>
            </w:tcBorders>
            <w:tcMar>
              <w:top w:w="15" w:type="dxa"/>
              <w:left w:w="15" w:type="dxa"/>
              <w:bottom w:w="0" w:type="dxa"/>
              <w:right w:w="15" w:type="dxa"/>
            </w:tcMar>
          </w:tcPr>
          <w:p w14:paraId="6519AE99"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25.94</w:t>
            </w:r>
          </w:p>
        </w:tc>
      </w:tr>
      <w:tr w:rsidR="009368B4" w14:paraId="64C1785A" w14:textId="77777777">
        <w:trPr>
          <w:gridAfter w:val="1"/>
          <w:wAfter w:w="470" w:type="dxa"/>
          <w:trHeight w:val="151"/>
          <w:jc w:val="center"/>
        </w:trPr>
        <w:tc>
          <w:tcPr>
            <w:tcW w:w="3473" w:type="dxa"/>
            <w:gridSpan w:val="2"/>
            <w:tcMar>
              <w:top w:w="15" w:type="dxa"/>
              <w:left w:w="15" w:type="dxa"/>
              <w:bottom w:w="0" w:type="dxa"/>
              <w:right w:w="15" w:type="dxa"/>
            </w:tcMar>
          </w:tcPr>
          <w:p w14:paraId="718A8FC8"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Probability Weighted Travel Time (minutes)</w:t>
            </w:r>
          </w:p>
        </w:tc>
        <w:tc>
          <w:tcPr>
            <w:tcW w:w="2039" w:type="dxa"/>
            <w:gridSpan w:val="2"/>
            <w:tcMar>
              <w:top w:w="15" w:type="dxa"/>
              <w:left w:w="15" w:type="dxa"/>
              <w:bottom w:w="0" w:type="dxa"/>
              <w:right w:w="15" w:type="dxa"/>
            </w:tcMar>
          </w:tcPr>
          <w:p w14:paraId="6BBAD095"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1.3095</w:t>
            </w:r>
          </w:p>
        </w:tc>
        <w:tc>
          <w:tcPr>
            <w:tcW w:w="1168" w:type="dxa"/>
            <w:gridSpan w:val="2"/>
            <w:tcMar>
              <w:top w:w="15" w:type="dxa"/>
              <w:left w:w="15" w:type="dxa"/>
              <w:bottom w:w="0" w:type="dxa"/>
              <w:right w:w="15" w:type="dxa"/>
            </w:tcMar>
          </w:tcPr>
          <w:p w14:paraId="78E0D7BD" w14:textId="77777777" w:rsidR="009368B4" w:rsidRDefault="00000000">
            <w:pPr>
              <w:spacing w:line="276" w:lineRule="auto"/>
              <w:jc w:val="center"/>
              <w:rPr>
                <w:rFonts w:ascii="Times New Roman" w:hAnsi="Times New Roman"/>
                <w:sz w:val="18"/>
                <w:szCs w:val="18"/>
              </w:rPr>
            </w:pPr>
            <w:r>
              <w:rPr>
                <w:rFonts w:ascii="Times New Roman" w:hAnsi="Times New Roman"/>
                <w:sz w:val="18"/>
                <w:szCs w:val="18"/>
              </w:rPr>
              <w:t>47.22</w:t>
            </w:r>
          </w:p>
        </w:tc>
      </w:tr>
      <w:tr w:rsidR="009368B4" w14:paraId="10F24F59" w14:textId="77777777">
        <w:trPr>
          <w:gridAfter w:val="1"/>
          <w:wAfter w:w="470" w:type="dxa"/>
          <w:trHeight w:val="260"/>
          <w:jc w:val="center"/>
        </w:trPr>
        <w:tc>
          <w:tcPr>
            <w:tcW w:w="3473" w:type="dxa"/>
            <w:gridSpan w:val="2"/>
            <w:tcBorders>
              <w:top w:val="single" w:sz="4" w:space="0" w:color="auto"/>
            </w:tcBorders>
            <w:tcMar>
              <w:top w:w="15" w:type="dxa"/>
              <w:left w:w="15" w:type="dxa"/>
              <w:bottom w:w="0" w:type="dxa"/>
              <w:right w:w="15" w:type="dxa"/>
            </w:tcMar>
          </w:tcPr>
          <w:p w14:paraId="6D32F6ED"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No. of observations</w:t>
            </w:r>
          </w:p>
        </w:tc>
        <w:tc>
          <w:tcPr>
            <w:tcW w:w="3207" w:type="dxa"/>
            <w:gridSpan w:val="4"/>
            <w:tcBorders>
              <w:top w:val="single" w:sz="4" w:space="0" w:color="auto"/>
            </w:tcBorders>
            <w:tcMar>
              <w:top w:w="15" w:type="dxa"/>
              <w:left w:w="15" w:type="dxa"/>
              <w:bottom w:w="0" w:type="dxa"/>
              <w:right w:w="15" w:type="dxa"/>
            </w:tcMar>
          </w:tcPr>
          <w:p w14:paraId="5737C0F5" w14:textId="77777777" w:rsidR="009368B4" w:rsidRDefault="00000000">
            <w:pPr>
              <w:spacing w:line="276" w:lineRule="auto"/>
              <w:ind w:firstLineChars="450" w:firstLine="810"/>
              <w:rPr>
                <w:rFonts w:ascii="Times New Roman" w:hAnsi="Times New Roman"/>
                <w:sz w:val="18"/>
                <w:szCs w:val="18"/>
              </w:rPr>
            </w:pPr>
            <w:r>
              <w:rPr>
                <w:rFonts w:ascii="Times New Roman" w:hAnsi="Times New Roman"/>
                <w:sz w:val="18"/>
                <w:szCs w:val="18"/>
              </w:rPr>
              <w:t>4,480</w:t>
            </w:r>
          </w:p>
        </w:tc>
      </w:tr>
      <w:tr w:rsidR="009368B4" w14:paraId="7A234BC3" w14:textId="77777777">
        <w:trPr>
          <w:gridAfter w:val="1"/>
          <w:wAfter w:w="470" w:type="dxa"/>
          <w:trHeight w:val="260"/>
          <w:jc w:val="center"/>
        </w:trPr>
        <w:tc>
          <w:tcPr>
            <w:tcW w:w="3473" w:type="dxa"/>
            <w:gridSpan w:val="2"/>
            <w:tcMar>
              <w:top w:w="15" w:type="dxa"/>
              <w:left w:w="15" w:type="dxa"/>
              <w:bottom w:w="0" w:type="dxa"/>
              <w:right w:w="15" w:type="dxa"/>
            </w:tcMar>
            <w:vAlign w:val="bottom"/>
          </w:tcPr>
          <w:p w14:paraId="3ADAC2BA"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McFadden Pseudo R-squared</w:t>
            </w:r>
          </w:p>
        </w:tc>
        <w:tc>
          <w:tcPr>
            <w:tcW w:w="3207" w:type="dxa"/>
            <w:gridSpan w:val="4"/>
            <w:tcMar>
              <w:top w:w="15" w:type="dxa"/>
              <w:left w:w="15" w:type="dxa"/>
              <w:bottom w:w="0" w:type="dxa"/>
              <w:right w:w="15" w:type="dxa"/>
            </w:tcMar>
            <w:vAlign w:val="bottom"/>
          </w:tcPr>
          <w:p w14:paraId="756D38A7" w14:textId="77777777" w:rsidR="009368B4" w:rsidRDefault="00000000">
            <w:pPr>
              <w:spacing w:line="276" w:lineRule="auto"/>
              <w:ind w:firstLineChars="450" w:firstLine="810"/>
              <w:rPr>
                <w:rFonts w:ascii="Times New Roman" w:hAnsi="Times New Roman"/>
                <w:sz w:val="18"/>
                <w:szCs w:val="18"/>
              </w:rPr>
            </w:pPr>
            <w:r>
              <w:rPr>
                <w:rFonts w:ascii="Times New Roman" w:hAnsi="Times New Roman"/>
                <w:sz w:val="18"/>
                <w:szCs w:val="18"/>
              </w:rPr>
              <w:t>0.419</w:t>
            </w:r>
          </w:p>
        </w:tc>
      </w:tr>
      <w:tr w:rsidR="009368B4" w14:paraId="37C84A1F" w14:textId="77777777">
        <w:trPr>
          <w:gridAfter w:val="1"/>
          <w:wAfter w:w="470" w:type="dxa"/>
          <w:trHeight w:val="260"/>
          <w:jc w:val="center"/>
        </w:trPr>
        <w:tc>
          <w:tcPr>
            <w:tcW w:w="3473" w:type="dxa"/>
            <w:gridSpan w:val="2"/>
            <w:tcBorders>
              <w:bottom w:val="single" w:sz="12" w:space="0" w:color="auto"/>
            </w:tcBorders>
            <w:tcMar>
              <w:top w:w="15" w:type="dxa"/>
              <w:left w:w="15" w:type="dxa"/>
              <w:bottom w:w="0" w:type="dxa"/>
              <w:right w:w="15" w:type="dxa"/>
            </w:tcMar>
            <w:vAlign w:val="bottom"/>
          </w:tcPr>
          <w:p w14:paraId="371E63AA" w14:textId="77777777" w:rsidR="009368B4" w:rsidRDefault="00000000">
            <w:pPr>
              <w:spacing w:line="276" w:lineRule="auto"/>
              <w:jc w:val="left"/>
              <w:rPr>
                <w:rFonts w:ascii="Times New Roman" w:hAnsi="Times New Roman"/>
                <w:sz w:val="18"/>
                <w:szCs w:val="18"/>
              </w:rPr>
            </w:pPr>
            <w:r>
              <w:rPr>
                <w:rFonts w:ascii="Times New Roman" w:hAnsi="Times New Roman"/>
                <w:sz w:val="18"/>
                <w:szCs w:val="18"/>
              </w:rPr>
              <w:t>Log-likelihood</w:t>
            </w:r>
          </w:p>
        </w:tc>
        <w:tc>
          <w:tcPr>
            <w:tcW w:w="3207" w:type="dxa"/>
            <w:gridSpan w:val="4"/>
            <w:tcBorders>
              <w:bottom w:val="single" w:sz="12" w:space="0" w:color="auto"/>
            </w:tcBorders>
            <w:tcMar>
              <w:top w:w="15" w:type="dxa"/>
              <w:left w:w="15" w:type="dxa"/>
              <w:bottom w:w="0" w:type="dxa"/>
              <w:right w:w="15" w:type="dxa"/>
            </w:tcMar>
            <w:vAlign w:val="bottom"/>
          </w:tcPr>
          <w:p w14:paraId="23E232EC" w14:textId="77777777" w:rsidR="009368B4" w:rsidRDefault="00000000">
            <w:pPr>
              <w:spacing w:line="276" w:lineRule="auto"/>
              <w:ind w:firstLineChars="350" w:firstLine="735"/>
              <w:rPr>
                <w:rFonts w:ascii="Times New Roman" w:hAnsi="Times New Roman"/>
                <w:sz w:val="18"/>
                <w:szCs w:val="18"/>
              </w:rPr>
            </w:pPr>
            <w:bookmarkStart w:id="5" w:name="_Hlk45793809"/>
            <w:r>
              <w:rPr>
                <w:rFonts w:ascii="Times New Roman" w:hAnsi="Times New Roman"/>
                <w:color w:val="000000"/>
                <w:lang w:eastAsia="zh-Hans"/>
              </w:rPr>
              <w:t>−</w:t>
            </w:r>
            <w:r>
              <w:rPr>
                <w:rFonts w:ascii="Times New Roman" w:hAnsi="Times New Roman"/>
                <w:sz w:val="18"/>
                <w:szCs w:val="18"/>
              </w:rPr>
              <w:t>2,858.15</w:t>
            </w:r>
            <w:bookmarkEnd w:id="5"/>
          </w:p>
        </w:tc>
      </w:tr>
    </w:tbl>
    <w:p w14:paraId="19D05E8E" w14:textId="77777777" w:rsidR="009368B4" w:rsidRDefault="009368B4">
      <w:pPr>
        <w:spacing w:line="276" w:lineRule="auto"/>
        <w:rPr>
          <w:rFonts w:ascii="Times New Roman" w:hAnsi="Times New Roman"/>
          <w:szCs w:val="21"/>
        </w:rPr>
      </w:pPr>
    </w:p>
    <w:p w14:paraId="69C83883" w14:textId="77777777" w:rsidR="009368B4" w:rsidRDefault="00000000">
      <w:pPr>
        <w:adjustRightInd w:val="0"/>
        <w:snapToGrid w:val="0"/>
        <w:spacing w:line="276" w:lineRule="auto"/>
        <w:ind w:firstLine="420"/>
        <w:rPr>
          <w:rFonts w:ascii="Times New Roman" w:hAnsi="Times New Roman"/>
          <w:szCs w:val="21"/>
        </w:rPr>
      </w:pPr>
      <w:r>
        <w:rPr>
          <w:rFonts w:ascii="Times New Roman" w:hAnsi="Times New Roman"/>
          <w:szCs w:val="21"/>
        </w:rPr>
        <w:t>All parameter estimates are statistically significant at the 99 percent confidence level. The two models offer some similar findings. For example, the estimated parameters for the reference specific constant are positive, which suggests, after accounting for the observed influences, that sampled respondents, on average, prefer their current trip relative to the two stated choice alternatives.</w:t>
      </w:r>
    </w:p>
    <w:p w14:paraId="412CEC01" w14:textId="77777777" w:rsidR="009368B4" w:rsidRDefault="009368B4">
      <w:pPr>
        <w:adjustRightInd w:val="0"/>
        <w:snapToGrid w:val="0"/>
        <w:spacing w:line="276" w:lineRule="auto"/>
        <w:rPr>
          <w:rFonts w:ascii="Times New Roman" w:hAnsi="Times New Roman"/>
          <w:szCs w:val="21"/>
        </w:rPr>
      </w:pPr>
    </w:p>
    <w:p w14:paraId="7366CA36"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5. Discussion</w:t>
      </w:r>
    </w:p>
    <w:p w14:paraId="49687061" w14:textId="77777777" w:rsidR="009368B4" w:rsidRDefault="00000000">
      <w:pPr>
        <w:adjustRightInd w:val="0"/>
        <w:snapToGrid w:val="0"/>
        <w:spacing w:line="276" w:lineRule="auto"/>
        <w:rPr>
          <w:rFonts w:ascii="Times New Roman" w:eastAsia="仿宋_GB2312" w:hAnsi="Times New Roman"/>
          <w:i/>
          <w:iCs/>
          <w:szCs w:val="21"/>
        </w:rPr>
      </w:pPr>
      <w:r>
        <w:rPr>
          <w:rFonts w:ascii="Times New Roman" w:eastAsia="仿宋_GB2312" w:hAnsi="Times New Roman"/>
          <w:i/>
          <w:iCs/>
          <w:szCs w:val="21"/>
        </w:rPr>
        <w:t xml:space="preserve">5.1. </w:t>
      </w:r>
      <w:r>
        <w:rPr>
          <w:rFonts w:ascii="Times New Roman" w:eastAsia="仿宋_GB2312" w:hAnsi="Times New Roman" w:hint="eastAsia"/>
          <w:i/>
          <w:iCs/>
          <w:szCs w:val="21"/>
        </w:rPr>
        <w:t xml:space="preserve"> </w:t>
      </w:r>
    </w:p>
    <w:p w14:paraId="46AC0F55" w14:textId="77777777" w:rsidR="009368B4" w:rsidRDefault="00000000">
      <w:pPr>
        <w:adjustRightInd w:val="0"/>
        <w:snapToGrid w:val="0"/>
        <w:spacing w:line="276" w:lineRule="auto"/>
        <w:rPr>
          <w:rFonts w:ascii="Times New Roman" w:eastAsia="仿宋_GB2312" w:hAnsi="Times New Roman"/>
          <w:szCs w:val="21"/>
        </w:rPr>
      </w:pPr>
      <w:r>
        <w:rPr>
          <w:rFonts w:ascii="Times New Roman" w:eastAsia="仿宋_GB2312" w:hAnsi="Times New Roman"/>
          <w:i/>
          <w:iCs/>
          <w:szCs w:val="21"/>
        </w:rPr>
        <w:t>5.2.</w:t>
      </w:r>
      <w:r>
        <w:rPr>
          <w:rFonts w:ascii="Times New Roman" w:eastAsia="仿宋_GB2312" w:hAnsi="Times New Roman"/>
          <w:szCs w:val="21"/>
        </w:rPr>
        <w:t xml:space="preserve"> </w:t>
      </w:r>
    </w:p>
    <w:p w14:paraId="51D4FE67" w14:textId="77777777" w:rsidR="009368B4" w:rsidRDefault="00000000">
      <w:pPr>
        <w:adjustRightInd w:val="0"/>
        <w:snapToGrid w:val="0"/>
        <w:spacing w:line="276" w:lineRule="auto"/>
        <w:ind w:firstLine="420"/>
        <w:rPr>
          <w:rFonts w:ascii="Times New Roman" w:hAnsi="Times New Roman"/>
          <w:szCs w:val="21"/>
        </w:rPr>
      </w:pPr>
      <w:r>
        <w:rPr>
          <w:rFonts w:ascii="Times New Roman" w:hAnsi="Times New Roman"/>
          <w:szCs w:val="21"/>
        </w:rPr>
        <w:t xml:space="preserve">Willingness to pay is an important output of multi-attribute choice studies. Under the AS_ERDUT model, the WTP formula is given in Eq. (8), which takes the transformed probabilities of the travel time distribution (in this study the decision weights of late, early and </w:t>
      </w:r>
      <w:r>
        <w:rPr>
          <w:rFonts w:ascii="Times New Roman" w:hAnsi="Times New Roman"/>
          <w:szCs w:val="21"/>
        </w:rPr>
        <w:lastRenderedPageBreak/>
        <w:t xml:space="preserve">on-time arrival). Instead of treating mean travel time and variability separately, this WTP value, referred to as the value of </w:t>
      </w:r>
      <w:r>
        <w:rPr>
          <w:rFonts w:ascii="Times New Roman" w:hAnsi="Times New Roman"/>
          <w:i/>
          <w:szCs w:val="21"/>
        </w:rPr>
        <w:t>decision-weight</w:t>
      </w:r>
      <w:r>
        <w:rPr>
          <w:rFonts w:ascii="Times New Roman" w:hAnsi="Times New Roman"/>
          <w:szCs w:val="21"/>
        </w:rPr>
        <w:t xml:space="preserve"> weighted travel time savings (VDWWTTS).</w:t>
      </w:r>
    </w:p>
    <w:p w14:paraId="73309D0A" w14:textId="77777777" w:rsidR="009368B4" w:rsidRDefault="009368B4">
      <w:pPr>
        <w:adjustRightInd w:val="0"/>
        <w:snapToGrid w:val="0"/>
        <w:spacing w:line="276" w:lineRule="auto"/>
        <w:ind w:firstLine="420"/>
        <w:rPr>
          <w:rFonts w:ascii="Times New Roman" w:eastAsia="仿宋_GB2312" w:hAnsi="Times New Roman"/>
          <w:szCs w:val="21"/>
        </w:rPr>
      </w:pPr>
    </w:p>
    <w:p w14:paraId="2B0590DB"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6. Conclusions</w:t>
      </w:r>
    </w:p>
    <w:p w14:paraId="0F92DDBB" w14:textId="77777777" w:rsidR="009368B4" w:rsidRDefault="00000000">
      <w:pPr>
        <w:adjustRightInd w:val="0"/>
        <w:snapToGrid w:val="0"/>
        <w:spacing w:line="276" w:lineRule="auto"/>
        <w:ind w:firstLineChars="100" w:firstLine="210"/>
        <w:rPr>
          <w:rFonts w:ascii="Times New Roman" w:hAnsi="Times New Roman"/>
          <w:color w:val="0000FF"/>
          <w:szCs w:val="21"/>
        </w:rPr>
      </w:pPr>
      <w:r>
        <w:rPr>
          <w:rFonts w:ascii="Times New Roman" w:hAnsi="Times New Roman"/>
          <w:color w:val="0000FF"/>
          <w:szCs w:val="21"/>
        </w:rPr>
        <w:t>(Conclusion should be summarized in points without tedious description of background, method, etc.)</w:t>
      </w:r>
    </w:p>
    <w:p w14:paraId="1050FCF1" w14:textId="77777777" w:rsidR="009368B4" w:rsidRDefault="00000000">
      <w:pPr>
        <w:adjustRightInd w:val="0"/>
        <w:snapToGrid w:val="0"/>
        <w:spacing w:line="276" w:lineRule="auto"/>
        <w:ind w:firstLine="420"/>
        <w:rPr>
          <w:rFonts w:ascii="Times New Roman" w:hAnsi="Times New Roman"/>
          <w:szCs w:val="21"/>
        </w:rPr>
      </w:pPr>
      <w:r>
        <w:rPr>
          <w:rFonts w:ascii="Times New Roman" w:hAnsi="Times New Roman"/>
          <w:szCs w:val="21"/>
        </w:rPr>
        <w:t>For the generalisability of the experimental outputs, Loomes and Pogrebna (2014), Zhou and Hey (2018), among others, highlight that researchers need to design experiments with the similar contexts as the real-world decision problems under investigation and elicit economic/psychological elements that best explain behaviour in that specific situation.</w:t>
      </w:r>
      <w:r>
        <w:rPr>
          <w:rFonts w:ascii="Times New Roman" w:hAnsi="Times New Roman"/>
          <w:szCs w:val="21"/>
          <w:lang w:val="en-AU"/>
        </w:rPr>
        <w:t xml:space="preserve"> This study used </w:t>
      </w:r>
      <w:r>
        <w:rPr>
          <w:rFonts w:ascii="Times New Roman" w:hAnsi="Times New Roman"/>
          <w:szCs w:val="21"/>
        </w:rPr>
        <w:t>a choice experiment, which is close to the real-market settings and established on the recent travel experiences of sampled car commuters where two SP alternatives were pivoted around their knowledge.</w:t>
      </w:r>
    </w:p>
    <w:p w14:paraId="0E047143" w14:textId="77777777" w:rsidR="009368B4" w:rsidRDefault="009368B4">
      <w:pPr>
        <w:adjustRightInd w:val="0"/>
        <w:snapToGrid w:val="0"/>
        <w:spacing w:line="276" w:lineRule="auto"/>
        <w:rPr>
          <w:rFonts w:ascii="Times New Roman" w:hAnsi="Times New Roman"/>
          <w:szCs w:val="21"/>
        </w:rPr>
      </w:pPr>
    </w:p>
    <w:p w14:paraId="5B79C44C" w14:textId="77777777" w:rsidR="009368B4" w:rsidRDefault="009368B4">
      <w:pPr>
        <w:adjustRightInd w:val="0"/>
        <w:snapToGrid w:val="0"/>
        <w:spacing w:line="276" w:lineRule="auto"/>
        <w:rPr>
          <w:rFonts w:ascii="Times New Roman" w:hAnsi="Times New Roman"/>
          <w:szCs w:val="21"/>
        </w:rPr>
      </w:pPr>
    </w:p>
    <w:p w14:paraId="696C70D9" w14:textId="77777777" w:rsidR="009368B4" w:rsidRDefault="00000000">
      <w:pPr>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Declaration of competing interest</w:t>
      </w:r>
    </w:p>
    <w:p w14:paraId="00321B7D" w14:textId="77777777" w:rsidR="009368B4" w:rsidRDefault="00000000">
      <w:pPr>
        <w:adjustRightInd w:val="0"/>
        <w:snapToGrid w:val="0"/>
        <w:spacing w:line="276" w:lineRule="auto"/>
        <w:ind w:leftChars="100" w:left="210" w:firstLineChars="100" w:firstLine="210"/>
        <w:rPr>
          <w:rFonts w:ascii="Times New Roman" w:eastAsia="仿宋_GB2312" w:hAnsi="Times New Roman"/>
          <w:szCs w:val="21"/>
        </w:rPr>
      </w:pPr>
      <w:r>
        <w:rPr>
          <w:rFonts w:ascii="Times New Roman" w:eastAsia="仿宋_GB2312" w:hAnsi="Times New Roman" w:hint="eastAsia"/>
          <w:szCs w:val="21"/>
        </w:rPr>
        <w:t>T</w:t>
      </w:r>
      <w:r>
        <w:rPr>
          <w:rFonts w:ascii="Times New Roman" w:eastAsia="仿宋_GB2312" w:hAnsi="Times New Roman"/>
          <w:szCs w:val="21"/>
        </w:rPr>
        <w:t>he authors declare that there are no conflicts of interest.</w:t>
      </w:r>
    </w:p>
    <w:p w14:paraId="1D55380B" w14:textId="77777777" w:rsidR="009368B4" w:rsidRDefault="009368B4">
      <w:pPr>
        <w:adjustRightInd w:val="0"/>
        <w:snapToGrid w:val="0"/>
        <w:spacing w:line="276" w:lineRule="auto"/>
        <w:rPr>
          <w:rFonts w:ascii="Times New Roman" w:eastAsia="仿宋_GB2312" w:hAnsi="Times New Roman"/>
          <w:szCs w:val="21"/>
        </w:rPr>
      </w:pPr>
    </w:p>
    <w:p w14:paraId="6953C939" w14:textId="77777777" w:rsidR="009368B4" w:rsidRDefault="00000000">
      <w:pPr>
        <w:tabs>
          <w:tab w:val="left" w:pos="449"/>
        </w:tabs>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 xml:space="preserve">Acknowledgments </w:t>
      </w:r>
    </w:p>
    <w:p w14:paraId="4E5B8605" w14:textId="77777777" w:rsidR="009368B4" w:rsidRDefault="00000000">
      <w:pPr>
        <w:tabs>
          <w:tab w:val="left" w:pos="449"/>
        </w:tabs>
        <w:adjustRightInd w:val="0"/>
        <w:snapToGrid w:val="0"/>
        <w:spacing w:line="276" w:lineRule="auto"/>
        <w:rPr>
          <w:rFonts w:ascii="Times New Roman" w:hAnsi="Times New Roman"/>
          <w:szCs w:val="21"/>
        </w:rPr>
      </w:pPr>
      <w:r>
        <w:rPr>
          <w:rFonts w:ascii="Times New Roman" w:hAnsi="Times New Roman"/>
          <w:szCs w:val="21"/>
        </w:rPr>
        <w:tab/>
        <w:t xml:space="preserve">The authors would like to acknowledge the National Natural Science Foundation of China (Grant No.: </w:t>
      </w:r>
      <w:r>
        <w:rPr>
          <w:rFonts w:ascii="Times New Roman" w:hAnsi="Times New Roman" w:hint="eastAsia"/>
          <w:szCs w:val="21"/>
        </w:rPr>
        <w:t>xxxxxx</w:t>
      </w:r>
      <w:r>
        <w:rPr>
          <w:rFonts w:ascii="Times New Roman" w:hAnsi="Times New Roman"/>
          <w:szCs w:val="21"/>
        </w:rPr>
        <w:t xml:space="preserve">), Open Foundation of Hypervelocity Impact Research Center of CARDC (Grant No.: 20180201) and Open Project of State Key Laboratory of Explosion Science and </w:t>
      </w:r>
      <w:r>
        <w:rPr>
          <w:rFonts w:ascii="Times New Roman" w:hAnsi="Times New Roman" w:hint="eastAsia"/>
          <w:szCs w:val="21"/>
        </w:rPr>
        <w:t>Technology</w:t>
      </w:r>
      <w:r>
        <w:rPr>
          <w:rFonts w:ascii="Times New Roman" w:hAnsi="Times New Roman"/>
          <w:szCs w:val="21"/>
        </w:rPr>
        <w:t xml:space="preserve"> in Beijing Institute of Technology (Grant No.: </w:t>
      </w:r>
      <w:r>
        <w:rPr>
          <w:rFonts w:ascii="Times New Roman" w:hAnsi="Times New Roman" w:hint="eastAsia"/>
          <w:szCs w:val="21"/>
        </w:rPr>
        <w:t>xxxxxx</w:t>
      </w:r>
      <w:r>
        <w:rPr>
          <w:rFonts w:ascii="Times New Roman" w:hAnsi="Times New Roman"/>
          <w:szCs w:val="21"/>
        </w:rPr>
        <w:t>) to provide fund for conducting experiments.</w:t>
      </w:r>
    </w:p>
    <w:p w14:paraId="28314064" w14:textId="77777777" w:rsidR="009368B4" w:rsidRDefault="009368B4">
      <w:pPr>
        <w:tabs>
          <w:tab w:val="left" w:pos="449"/>
        </w:tabs>
        <w:adjustRightInd w:val="0"/>
        <w:snapToGrid w:val="0"/>
        <w:spacing w:line="276" w:lineRule="auto"/>
        <w:rPr>
          <w:rFonts w:ascii="Times New Roman" w:eastAsia="仿宋_GB2312" w:hAnsi="Times New Roman"/>
          <w:szCs w:val="21"/>
        </w:rPr>
      </w:pPr>
    </w:p>
    <w:p w14:paraId="047FF640" w14:textId="77777777" w:rsidR="009368B4" w:rsidRDefault="00000000">
      <w:pPr>
        <w:tabs>
          <w:tab w:val="left" w:pos="449"/>
        </w:tabs>
        <w:adjustRightInd w:val="0"/>
        <w:snapToGrid w:val="0"/>
        <w:spacing w:line="276" w:lineRule="auto"/>
        <w:rPr>
          <w:rFonts w:ascii="Times New Roman" w:eastAsia="仿宋_GB2312" w:hAnsi="Times New Roman"/>
          <w:b/>
          <w:bCs/>
          <w:szCs w:val="21"/>
        </w:rPr>
      </w:pPr>
      <w:r>
        <w:rPr>
          <w:rFonts w:ascii="Times New Roman" w:eastAsia="仿宋_GB2312" w:hAnsi="Times New Roman"/>
          <w:b/>
          <w:bCs/>
          <w:szCs w:val="21"/>
        </w:rPr>
        <w:t>References</w:t>
      </w:r>
    </w:p>
    <w:p w14:paraId="3C16B863" w14:textId="77777777" w:rsidR="009368B4" w:rsidRDefault="00000000">
      <w:pPr>
        <w:autoSpaceDE w:val="0"/>
        <w:autoSpaceDN w:val="0"/>
        <w:adjustRightInd w:val="0"/>
        <w:snapToGrid w:val="0"/>
        <w:spacing w:line="276" w:lineRule="auto"/>
        <w:rPr>
          <w:rFonts w:ascii="Times New Roman" w:hAnsi="Times New Roman"/>
          <w:b/>
          <w:bCs/>
          <w:color w:val="0000FF"/>
          <w:szCs w:val="21"/>
        </w:rPr>
      </w:pPr>
      <w:r>
        <w:rPr>
          <w:rFonts w:ascii="Times New Roman" w:hAnsi="Times New Roman"/>
          <w:b/>
          <w:bCs/>
          <w:color w:val="0000FF"/>
          <w:szCs w:val="21"/>
        </w:rPr>
        <w:t>Cite references appropriately</w:t>
      </w:r>
      <w:r>
        <w:rPr>
          <w:rFonts w:ascii="Times New Roman" w:hAnsi="Times New Roman" w:hint="eastAsia"/>
          <w:b/>
          <w:bCs/>
          <w:color w:val="0000FF"/>
          <w:szCs w:val="21"/>
        </w:rPr>
        <w:t xml:space="preserve"> and ensure every citation is relevant with the reference</w:t>
      </w:r>
      <w:r>
        <w:rPr>
          <w:rFonts w:ascii="Times New Roman" w:hAnsi="Times New Roman"/>
          <w:b/>
          <w:bCs/>
          <w:color w:val="0000FF"/>
          <w:szCs w:val="21"/>
        </w:rPr>
        <w:t>, avoiding redundancy and excessive self-citation to maintain the scientific integrity of your article.</w:t>
      </w:r>
    </w:p>
    <w:p w14:paraId="4EAC7E36" w14:textId="77777777" w:rsidR="009368B4" w:rsidRDefault="009368B4">
      <w:pPr>
        <w:tabs>
          <w:tab w:val="left" w:pos="449"/>
        </w:tabs>
        <w:adjustRightInd w:val="0"/>
        <w:snapToGrid w:val="0"/>
        <w:spacing w:line="276" w:lineRule="auto"/>
      </w:pPr>
    </w:p>
    <w:p w14:paraId="4A72CC10"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b/>
          <w:bCs/>
          <w:color w:val="0000FF"/>
          <w:szCs w:val="21"/>
        </w:rPr>
        <w:t>Reference citing in the manuscript:</w:t>
      </w:r>
      <w:r>
        <w:rPr>
          <w:rFonts w:ascii="Times New Roman" w:hAnsi="Times New Roman"/>
          <w:color w:val="0000FF"/>
          <w:szCs w:val="21"/>
        </w:rPr>
        <w:t xml:space="preserve"> author-date format</w:t>
      </w:r>
    </w:p>
    <w:p w14:paraId="310B519D"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b/>
          <w:bCs/>
          <w:color w:val="0000FF"/>
          <w:szCs w:val="21"/>
        </w:rPr>
        <w:t xml:space="preserve">Single author: </w:t>
      </w:r>
      <w:r>
        <w:rPr>
          <w:rFonts w:ascii="Times New Roman" w:hAnsi="Times New Roman"/>
          <w:color w:val="0000FF"/>
          <w:szCs w:val="21"/>
        </w:rPr>
        <w:t xml:space="preserve">the author’s name (without initials, unless there is ambiguity) and the year of publication; </w:t>
      </w:r>
    </w:p>
    <w:p w14:paraId="1A46B8AC"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b/>
          <w:bCs/>
          <w:color w:val="0000FF"/>
          <w:szCs w:val="21"/>
        </w:rPr>
        <w:t xml:space="preserve">Two authors: </w:t>
      </w:r>
      <w:r>
        <w:rPr>
          <w:rFonts w:ascii="Times New Roman" w:hAnsi="Times New Roman"/>
          <w:color w:val="0000FF"/>
          <w:szCs w:val="21"/>
        </w:rPr>
        <w:t xml:space="preserve">both authors’ names and the year of publication; </w:t>
      </w:r>
    </w:p>
    <w:p w14:paraId="262760A6"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b/>
          <w:bCs/>
          <w:color w:val="0000FF"/>
          <w:szCs w:val="21"/>
        </w:rPr>
        <w:t xml:space="preserve">Three or more authors: </w:t>
      </w:r>
      <w:r>
        <w:rPr>
          <w:rFonts w:ascii="Times New Roman" w:hAnsi="Times New Roman"/>
          <w:color w:val="0000FF"/>
          <w:szCs w:val="21"/>
        </w:rPr>
        <w:t xml:space="preserve">first author’s name followed by ‘et al.’ and the year of publication. </w:t>
      </w:r>
    </w:p>
    <w:p w14:paraId="4FB382B1" w14:textId="77777777" w:rsidR="009368B4" w:rsidRDefault="009368B4">
      <w:pPr>
        <w:autoSpaceDE w:val="0"/>
        <w:autoSpaceDN w:val="0"/>
        <w:adjustRightInd w:val="0"/>
        <w:snapToGrid w:val="0"/>
        <w:spacing w:line="276" w:lineRule="auto"/>
        <w:rPr>
          <w:rFonts w:ascii="Times New Roman" w:hAnsi="Times New Roman"/>
          <w:color w:val="0000FF"/>
          <w:szCs w:val="21"/>
        </w:rPr>
      </w:pPr>
    </w:p>
    <w:p w14:paraId="34A99798"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color w:val="0000FF"/>
          <w:szCs w:val="21"/>
        </w:rPr>
        <w:t>Citations may be made directly (or parenthetically). Groups of references should be listed first alphabetically, then chronologically.</w:t>
      </w:r>
    </w:p>
    <w:p w14:paraId="69296D25" w14:textId="77777777" w:rsidR="009368B4" w:rsidRDefault="009368B4">
      <w:pPr>
        <w:autoSpaceDE w:val="0"/>
        <w:autoSpaceDN w:val="0"/>
        <w:adjustRightInd w:val="0"/>
        <w:snapToGrid w:val="0"/>
        <w:spacing w:line="276" w:lineRule="auto"/>
        <w:rPr>
          <w:rFonts w:ascii="Times New Roman" w:hAnsi="Times New Roman"/>
          <w:color w:val="0000FF"/>
          <w:szCs w:val="21"/>
        </w:rPr>
      </w:pPr>
    </w:p>
    <w:p w14:paraId="754D16DB" w14:textId="77777777" w:rsidR="009368B4" w:rsidRDefault="00000000">
      <w:pPr>
        <w:autoSpaceDE w:val="0"/>
        <w:autoSpaceDN w:val="0"/>
        <w:adjustRightInd w:val="0"/>
        <w:snapToGrid w:val="0"/>
        <w:spacing w:line="276" w:lineRule="auto"/>
        <w:rPr>
          <w:rFonts w:ascii="Times New Roman" w:hAnsi="Times New Roman"/>
          <w:b/>
          <w:bCs/>
          <w:color w:val="0000FF"/>
          <w:szCs w:val="21"/>
        </w:rPr>
      </w:pPr>
      <w:r>
        <w:rPr>
          <w:rFonts w:ascii="Times New Roman" w:hAnsi="Times New Roman"/>
          <w:b/>
          <w:bCs/>
          <w:color w:val="0000FF"/>
          <w:szCs w:val="21"/>
        </w:rPr>
        <w:t>Examples:</w:t>
      </w:r>
    </w:p>
    <w:p w14:paraId="2972B769"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color w:val="0000FF"/>
          <w:szCs w:val="21"/>
        </w:rPr>
        <w:t>as demonstrated (Allan, 1996a, 1996b, 1999; Allan and Jones, 1995)</w:t>
      </w:r>
    </w:p>
    <w:p w14:paraId="30F307B2"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color w:val="0000FF"/>
          <w:szCs w:val="21"/>
        </w:rPr>
        <w:t>Kramer et al. (2000) have recently shown...</w:t>
      </w:r>
    </w:p>
    <w:p w14:paraId="767AF541" w14:textId="77777777" w:rsidR="009368B4" w:rsidRDefault="009368B4">
      <w:pPr>
        <w:autoSpaceDE w:val="0"/>
        <w:autoSpaceDN w:val="0"/>
        <w:adjustRightInd w:val="0"/>
        <w:snapToGrid w:val="0"/>
        <w:spacing w:line="276" w:lineRule="auto"/>
        <w:rPr>
          <w:rFonts w:ascii="Times New Roman" w:hAnsi="Times New Roman"/>
          <w:color w:val="0000FF"/>
          <w:szCs w:val="21"/>
        </w:rPr>
      </w:pPr>
    </w:p>
    <w:p w14:paraId="661FA44A" w14:textId="77777777" w:rsidR="009368B4" w:rsidRDefault="00000000">
      <w:pPr>
        <w:autoSpaceDE w:val="0"/>
        <w:autoSpaceDN w:val="0"/>
        <w:adjustRightInd w:val="0"/>
        <w:snapToGrid w:val="0"/>
        <w:spacing w:line="276" w:lineRule="auto"/>
        <w:rPr>
          <w:rFonts w:ascii="Times New Roman" w:hAnsi="Times New Roman"/>
          <w:color w:val="0000FF"/>
          <w:szCs w:val="21"/>
        </w:rPr>
      </w:pPr>
      <w:r>
        <w:rPr>
          <w:rFonts w:ascii="Times New Roman" w:hAnsi="Times New Roman"/>
          <w:color w:val="0000FF"/>
          <w:szCs w:val="21"/>
        </w:rPr>
        <w:t xml:space="preserve">List of References </w:t>
      </w:r>
      <w:r>
        <w:rPr>
          <w:rFonts w:ascii="Times New Roman" w:hAnsi="Times New Roman" w:hint="eastAsia"/>
          <w:color w:val="0000FF"/>
          <w:szCs w:val="21"/>
        </w:rPr>
        <w:t>at</w:t>
      </w:r>
      <w:r>
        <w:rPr>
          <w:rFonts w:ascii="Times New Roman" w:hAnsi="Times New Roman"/>
          <w:color w:val="0000FF"/>
          <w:szCs w:val="21"/>
        </w:rPr>
        <w:t xml:space="preserve"> the end of the manuscript should be arranged first alphabetically and then further sorted chronologically if necessary. More than one reference from the same author(s) in the same year must be identified by the letters “a”, “b”, “c”, etc., placed after the year of publication.</w:t>
      </w:r>
    </w:p>
    <w:p w14:paraId="66EE9774" w14:textId="77777777" w:rsidR="009368B4" w:rsidRDefault="009368B4">
      <w:pPr>
        <w:autoSpaceDE w:val="0"/>
        <w:autoSpaceDN w:val="0"/>
        <w:adjustRightInd w:val="0"/>
        <w:snapToGrid w:val="0"/>
        <w:spacing w:line="276" w:lineRule="auto"/>
        <w:rPr>
          <w:rFonts w:ascii="Times New Roman" w:hAnsi="Times New Roman"/>
          <w:color w:val="0000FF"/>
          <w:szCs w:val="21"/>
        </w:rPr>
      </w:pPr>
    </w:p>
    <w:p w14:paraId="6A351E8C" w14:textId="77777777" w:rsidR="009368B4" w:rsidRDefault="00000000">
      <w:pPr>
        <w:autoSpaceDE w:val="0"/>
        <w:autoSpaceDN w:val="0"/>
        <w:adjustRightInd w:val="0"/>
        <w:snapToGrid w:val="0"/>
        <w:spacing w:line="276" w:lineRule="auto"/>
        <w:rPr>
          <w:rFonts w:ascii="Times New Roman" w:hAnsi="Times New Roman"/>
          <w:b/>
          <w:color w:val="0000FF"/>
          <w:szCs w:val="21"/>
        </w:rPr>
      </w:pPr>
      <w:r>
        <w:rPr>
          <w:rFonts w:ascii="Times New Roman" w:hAnsi="Times New Roman"/>
          <w:color w:val="0000FF"/>
          <w:szCs w:val="21"/>
        </w:rPr>
        <w:t>Reference to a journal publication (</w:t>
      </w:r>
      <w:r>
        <w:rPr>
          <w:rFonts w:ascii="Times New Roman" w:hAnsi="Times New Roman"/>
          <w:b/>
          <w:color w:val="0000FF"/>
          <w:szCs w:val="21"/>
        </w:rPr>
        <w:t xml:space="preserve">Journal names should be abbreviated, but if you are uncertain, keep it in full name)  </w:t>
      </w:r>
    </w:p>
    <w:p w14:paraId="12E1BFCC"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b/>
          <w:bCs/>
          <w:i/>
          <w:iCs/>
          <w:szCs w:val="21"/>
        </w:rPr>
        <w:t>Journal abbreviations source</w:t>
      </w:r>
      <w:r>
        <w:rPr>
          <w:rFonts w:ascii="Times New Roman" w:hAnsi="Times New Roman"/>
          <w:b/>
          <w:bCs/>
          <w:szCs w:val="21"/>
        </w:rPr>
        <w:t xml:space="preserve"> </w:t>
      </w:r>
      <w:r>
        <w:rPr>
          <w:rFonts w:ascii="Times New Roman" w:hAnsi="Times New Roman"/>
          <w:szCs w:val="21"/>
        </w:rPr>
        <w:br/>
      </w:r>
      <w:r>
        <w:rPr>
          <w:rFonts w:ascii="Times New Roman" w:hAnsi="Times New Roman"/>
          <w:szCs w:val="21"/>
        </w:rPr>
        <w:lastRenderedPageBreak/>
        <w:t xml:space="preserve">Journal names should be abbreviated according to </w:t>
      </w:r>
      <w:r>
        <w:rPr>
          <w:rFonts w:ascii="Times New Roman" w:hAnsi="Times New Roman"/>
          <w:color w:val="FF0000"/>
          <w:szCs w:val="21"/>
        </w:rPr>
        <w:br/>
      </w:r>
      <w:r>
        <w:rPr>
          <w:rFonts w:ascii="Times New Roman" w:hAnsi="Times New Roman"/>
          <w:color w:val="000000"/>
          <w:szCs w:val="21"/>
        </w:rPr>
        <w:t xml:space="preserve">List of title word abbreviations: </w:t>
      </w:r>
      <w:r>
        <w:rPr>
          <w:rFonts w:ascii="Times New Roman" w:hAnsi="Times New Roman"/>
          <w:noProof/>
          <w:color w:val="000000"/>
          <w:szCs w:val="21"/>
        </w:rPr>
        <w:drawing>
          <wp:inline distT="0" distB="0" distL="114300" distR="114300" wp14:anchorId="07621078" wp14:editId="581E710F">
            <wp:extent cx="128905" cy="118110"/>
            <wp:effectExtent l="0" t="0" r="4445" b="16510"/>
            <wp:docPr id="3" name="Picture 24"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 descr="External link"/>
                    <pic:cNvPicPr>
                      <a:picLocks noChangeAspect="1"/>
                    </pic:cNvPicPr>
                  </pic:nvPicPr>
                  <pic:blipFill>
                    <a:blip r:embed="rId5"/>
                    <a:stretch>
                      <a:fillRect/>
                    </a:stretch>
                  </pic:blipFill>
                  <pic:spPr>
                    <a:xfrm>
                      <a:off x="0" y="0"/>
                      <a:ext cx="128905" cy="118110"/>
                    </a:xfrm>
                    <a:prstGeom prst="rect">
                      <a:avLst/>
                    </a:prstGeom>
                    <a:noFill/>
                    <a:ln>
                      <a:noFill/>
                    </a:ln>
                  </pic:spPr>
                </pic:pic>
              </a:graphicData>
            </a:graphic>
          </wp:inline>
        </w:drawing>
      </w:r>
      <w:hyperlink r:id="rId8" w:tgtFrame="_blank" w:history="1">
        <w:r>
          <w:rPr>
            <w:rStyle w:val="af2"/>
            <w:rFonts w:ascii="Times New Roman" w:hAnsi="Times New Roman"/>
            <w:color w:val="000000"/>
            <w:szCs w:val="21"/>
          </w:rPr>
          <w:t>http://www.issn.org/2-22661-LT</w:t>
        </w:r>
        <w:bookmarkStart w:id="6" w:name="_Hlt48663470"/>
        <w:bookmarkStart w:id="7" w:name="_Hlt48663471"/>
        <w:r>
          <w:rPr>
            <w:rStyle w:val="af2"/>
            <w:rFonts w:ascii="Times New Roman" w:hAnsi="Times New Roman"/>
            <w:color w:val="000000"/>
            <w:szCs w:val="21"/>
          </w:rPr>
          <w:t>W</w:t>
        </w:r>
        <w:bookmarkEnd w:id="6"/>
        <w:bookmarkEnd w:id="7"/>
        <w:r>
          <w:rPr>
            <w:rStyle w:val="af2"/>
            <w:rFonts w:ascii="Times New Roman" w:hAnsi="Times New Roman"/>
            <w:color w:val="000000"/>
            <w:szCs w:val="21"/>
          </w:rPr>
          <w:t>A-online.p</w:t>
        </w:r>
        <w:bookmarkStart w:id="8" w:name="_Hlt45816872"/>
        <w:bookmarkStart w:id="9" w:name="_Hlt45816873"/>
        <w:r>
          <w:rPr>
            <w:rStyle w:val="af2"/>
            <w:rFonts w:ascii="Times New Roman" w:hAnsi="Times New Roman"/>
            <w:color w:val="000000"/>
            <w:szCs w:val="21"/>
          </w:rPr>
          <w:t>h</w:t>
        </w:r>
        <w:bookmarkEnd w:id="8"/>
        <w:bookmarkEnd w:id="9"/>
        <w:r>
          <w:rPr>
            <w:rStyle w:val="af2"/>
            <w:rFonts w:ascii="Times New Roman" w:hAnsi="Times New Roman"/>
            <w:color w:val="000000"/>
            <w:szCs w:val="21"/>
          </w:rPr>
          <w:t>p</w:t>
        </w:r>
      </w:hyperlink>
    </w:p>
    <w:p w14:paraId="7987ADE7" w14:textId="77777777" w:rsidR="009368B4" w:rsidRDefault="009368B4">
      <w:pPr>
        <w:autoSpaceDE w:val="0"/>
        <w:autoSpaceDN w:val="0"/>
        <w:adjustRightInd w:val="0"/>
        <w:snapToGrid w:val="0"/>
        <w:spacing w:line="276" w:lineRule="auto"/>
        <w:rPr>
          <w:rFonts w:ascii="Times New Roman" w:hAnsi="Times New Roman"/>
          <w:color w:val="000000"/>
          <w:szCs w:val="21"/>
        </w:rPr>
      </w:pPr>
    </w:p>
    <w:p w14:paraId="65276AFB" w14:textId="77777777" w:rsidR="009368B4" w:rsidRDefault="009368B4">
      <w:pPr>
        <w:autoSpaceDE w:val="0"/>
        <w:autoSpaceDN w:val="0"/>
        <w:adjustRightInd w:val="0"/>
        <w:snapToGrid w:val="0"/>
        <w:spacing w:line="276" w:lineRule="auto"/>
        <w:rPr>
          <w:rFonts w:ascii="Times New Roman" w:hAnsi="Times New Roman"/>
          <w:color w:val="000000"/>
          <w:szCs w:val="21"/>
        </w:rPr>
      </w:pPr>
    </w:p>
    <w:p w14:paraId="344006F6"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If there are more than three authors, please list only the first three authors followed by “et al.”</w:t>
      </w:r>
    </w:p>
    <w:p w14:paraId="1757D4CD" w14:textId="77777777" w:rsidR="009368B4" w:rsidRDefault="009368B4">
      <w:pPr>
        <w:autoSpaceDE w:val="0"/>
        <w:autoSpaceDN w:val="0"/>
        <w:adjustRightInd w:val="0"/>
        <w:snapToGrid w:val="0"/>
        <w:spacing w:line="276" w:lineRule="auto"/>
        <w:jc w:val="left"/>
        <w:rPr>
          <w:rFonts w:ascii="Segoe UI" w:eastAsia="Segoe UI" w:hAnsi="Segoe UI" w:cs="Segoe UI"/>
          <w:sz w:val="24"/>
          <w:shd w:val="clear" w:color="auto" w:fill="FFFFFF"/>
        </w:rPr>
      </w:pPr>
    </w:p>
    <w:p w14:paraId="1F8B7040"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journal publication: </w:t>
      </w:r>
    </w:p>
    <w:p w14:paraId="435E0E6F"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Peters, G.F., Romi, A.M., 2014. Does the voluntary adoption of corporate governance mechanisms improve environmental risk disclosures? Evidence from greenhouse gas emission accounting. J. Bus. Ethics 125 (11), 637–666.</w:t>
      </w:r>
    </w:p>
    <w:p w14:paraId="0A5C813C"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(Note: Volume and issue information is required.)</w:t>
      </w:r>
    </w:p>
    <w:p w14:paraId="19D68429"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journal publication with an article number: </w:t>
      </w:r>
    </w:p>
    <w:p w14:paraId="5598D68F"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Gordon, B., Fennessy, C., Varma, S., et al., 2022. Evaluation of freely available data profiling tools for health data research application: a functional evaluation review. BMJ Open 12 (5), e054186.</w:t>
      </w:r>
    </w:p>
    <w:p w14:paraId="636C1898"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book: </w:t>
      </w:r>
    </w:p>
    <w:p w14:paraId="44F86798"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Strunk Jr., W., White, E.B., 2000. The Elements of Style, fourth ed. Longman, New York.</w:t>
      </w:r>
    </w:p>
    <w:p w14:paraId="08AB0D09"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chapter in a book: </w:t>
      </w:r>
    </w:p>
    <w:p w14:paraId="251FCB71"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Mettam, G.R., Adams, L.B., 2023. How to prepare an electronic version of your article, in: Jones, B.S., Smith, R.Z. (Eds.), Introduction to the Electronic Age. E-Publishing Inc., New York, pp. 281–304.</w:t>
      </w:r>
    </w:p>
    <w:p w14:paraId="4FCC783B"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Reference to a website:</w:t>
      </w:r>
    </w:p>
    <w:p w14:paraId="722D4287"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 xml:space="preserve">Cancer Research UK, 2023. Cancer statistics reports for the UK. </w:t>
      </w:r>
      <w:hyperlink r:id="rId9" w:history="1">
        <w:r>
          <w:rPr>
            <w:rFonts w:ascii="Times New Roman" w:hAnsi="Times New Roman"/>
            <w:color w:val="000000"/>
            <w:szCs w:val="21"/>
          </w:rPr>
          <w:t>http://www.cancerresearchuk.org/aboutcancer/statistics/cancerstatsreport/</w:t>
        </w:r>
      </w:hyperlink>
      <w:r>
        <w:rPr>
          <w:rFonts w:ascii="Times New Roman" w:hAnsi="Times New Roman"/>
          <w:color w:val="000000"/>
          <w:szCs w:val="21"/>
        </w:rPr>
        <w:t xml:space="preserve"> (Accessed 13 March 2023).</w:t>
      </w:r>
    </w:p>
    <w:p w14:paraId="4D5E1FBE"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Reference to a dataset:</w:t>
      </w:r>
    </w:p>
    <w:p w14:paraId="2EF488AD"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 xml:space="preserve">Oguro, M., Imahiro, S., Saito, S., </w:t>
      </w:r>
      <w:r>
        <w:rPr>
          <w:rFonts w:ascii="Times New Roman" w:hAnsi="Times New Roman" w:hint="eastAsia"/>
          <w:color w:val="000000"/>
          <w:szCs w:val="21"/>
        </w:rPr>
        <w:t>et al</w:t>
      </w:r>
      <w:r>
        <w:rPr>
          <w:rFonts w:ascii="Times New Roman" w:hAnsi="Times New Roman"/>
          <w:color w:val="000000"/>
          <w:szCs w:val="21"/>
        </w:rPr>
        <w:t>., 2015. Mortality data for Japanese oak wilt disease and surrounding forest compositions [dataset]. Mendeley Data, v1.</w:t>
      </w:r>
    </w:p>
    <w:p w14:paraId="762C27B7"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Reference to software:</w:t>
      </w:r>
    </w:p>
    <w:p w14:paraId="16FC93A4"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 xml:space="preserve">Coon, E., Berndt, M., Jan, A., </w:t>
      </w:r>
      <w:r>
        <w:rPr>
          <w:rFonts w:ascii="Times New Roman" w:hAnsi="Times New Roman" w:hint="eastAsia"/>
          <w:color w:val="000000"/>
          <w:szCs w:val="21"/>
        </w:rPr>
        <w:t>et al</w:t>
      </w:r>
      <w:r>
        <w:rPr>
          <w:rFonts w:ascii="Times New Roman" w:hAnsi="Times New Roman"/>
          <w:color w:val="000000"/>
          <w:szCs w:val="21"/>
        </w:rPr>
        <w:t>., 2020. Advanced Terrestrial Simulator (ATS) v0.88 (Version 0.88) [software]. Zenodo.</w:t>
      </w:r>
    </w:p>
    <w:p w14:paraId="72B8AD4D"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thesis/dissertation: </w:t>
      </w:r>
    </w:p>
    <w:p w14:paraId="31DD620D"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Enearu, W.O., 2020. The impact of leadership styles on employee engagement in small and medium enterprises [master’s thesis]. National College of Ireland, Dublin.</w:t>
      </w:r>
    </w:p>
    <w:p w14:paraId="150768F6"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Ajayi, O.A., 2025. Implementing environmental, social, and governance (ESG) principles in organizations: the role of leadership and impacts on corporate financial performance [dissertation]. Case Western Reserve University, Cleveland.</w:t>
      </w:r>
    </w:p>
    <w:p w14:paraId="58526FD8"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 xml:space="preserve">Reference to a conference paper: </w:t>
      </w:r>
    </w:p>
    <w:p w14:paraId="6D99A06F"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 xml:space="preserve">Pan, F., Bent, R., Berscheid, A., </w:t>
      </w:r>
      <w:r>
        <w:rPr>
          <w:rFonts w:ascii="Times New Roman" w:hAnsi="Times New Roman" w:hint="eastAsia"/>
          <w:color w:val="000000"/>
          <w:szCs w:val="21"/>
        </w:rPr>
        <w:t>et al</w:t>
      </w:r>
      <w:r>
        <w:rPr>
          <w:rFonts w:ascii="Times New Roman" w:hAnsi="Times New Roman"/>
          <w:color w:val="000000"/>
          <w:szCs w:val="21"/>
        </w:rPr>
        <w:t xml:space="preserve">., 2010. Locating </w:t>
      </w:r>
      <w:r>
        <w:rPr>
          <w:rFonts w:ascii="Times New Roman" w:hAnsi="Times New Roman" w:hint="eastAsia"/>
          <w:color w:val="000000"/>
          <w:szCs w:val="21"/>
        </w:rPr>
        <w:t>PHEV</w:t>
      </w:r>
      <w:r>
        <w:rPr>
          <w:rFonts w:ascii="Times New Roman" w:hAnsi="Times New Roman"/>
          <w:color w:val="000000"/>
          <w:szCs w:val="21"/>
        </w:rPr>
        <w:t xml:space="preserve"> exchange stations in</w:t>
      </w:r>
    </w:p>
    <w:p w14:paraId="39ACC2E7"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v2g. In: 2010 First IEEE International Conference on Smart Grid Communications.</w:t>
      </w:r>
    </w:p>
    <w:p w14:paraId="33BDE612"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IEEE, pp. 173–178.</w:t>
      </w:r>
    </w:p>
    <w:p w14:paraId="17300553" w14:textId="77777777" w:rsidR="009368B4" w:rsidRDefault="00000000">
      <w:pPr>
        <w:autoSpaceDE w:val="0"/>
        <w:autoSpaceDN w:val="0"/>
        <w:adjustRightInd w:val="0"/>
        <w:snapToGrid w:val="0"/>
        <w:spacing w:line="276" w:lineRule="auto"/>
        <w:jc w:val="left"/>
        <w:rPr>
          <w:rFonts w:ascii="Times New Roman" w:hAnsi="Times New Roman"/>
          <w:b/>
          <w:color w:val="0000FF"/>
          <w:szCs w:val="21"/>
        </w:rPr>
      </w:pPr>
      <w:r>
        <w:rPr>
          <w:rFonts w:ascii="Times New Roman" w:hAnsi="Times New Roman"/>
          <w:b/>
          <w:color w:val="0000FF"/>
          <w:szCs w:val="21"/>
        </w:rPr>
        <w:t>Reference to an article in preprint:</w:t>
      </w:r>
    </w:p>
    <w:p w14:paraId="28491141" w14:textId="77777777" w:rsidR="009368B4" w:rsidRDefault="00000000">
      <w:pPr>
        <w:autoSpaceDE w:val="0"/>
        <w:autoSpaceDN w:val="0"/>
        <w:adjustRightInd w:val="0"/>
        <w:snapToGrid w:val="0"/>
        <w:spacing w:line="276" w:lineRule="auto"/>
        <w:jc w:val="left"/>
        <w:rPr>
          <w:rFonts w:ascii="Times New Roman" w:hAnsi="Times New Roman"/>
          <w:color w:val="000000"/>
          <w:szCs w:val="21"/>
        </w:rPr>
      </w:pPr>
      <w:r>
        <w:rPr>
          <w:rFonts w:ascii="Times New Roman" w:hAnsi="Times New Roman"/>
          <w:color w:val="000000"/>
          <w:szCs w:val="21"/>
        </w:rPr>
        <w:t>Alom, M.Z., Taha, T.M., Yakopcic, C., et al., 2018. The history began from Alexnet: a comprehensive survey on deep learning approaches. ArXiv.1803.01164.</w:t>
      </w:r>
    </w:p>
    <w:p w14:paraId="1627A4C3" w14:textId="77777777" w:rsidR="009368B4" w:rsidRDefault="009368B4">
      <w:pPr>
        <w:adjustRightInd w:val="0"/>
        <w:snapToGrid w:val="0"/>
        <w:spacing w:line="276" w:lineRule="auto"/>
        <w:ind w:left="540" w:hanging="540"/>
        <w:jc w:val="left"/>
        <w:rPr>
          <w:rFonts w:ascii="Times New Roman" w:hAnsi="Times New Roman"/>
          <w:color w:val="000000"/>
          <w:szCs w:val="21"/>
        </w:rPr>
      </w:pPr>
    </w:p>
    <w:p w14:paraId="09E87E85" w14:textId="77777777" w:rsidR="009368B4" w:rsidRDefault="009368B4">
      <w:pPr>
        <w:widowControl/>
        <w:jc w:val="left"/>
        <w:rPr>
          <w:rFonts w:ascii="Times New Roman" w:hAnsi="Times New Roman"/>
          <w:color w:val="000000"/>
          <w:kern w:val="0"/>
          <w:sz w:val="24"/>
          <w:lang w:bidi="ar"/>
        </w:rPr>
      </w:pPr>
    </w:p>
    <w:p w14:paraId="374A7834" w14:textId="77777777" w:rsidR="009368B4" w:rsidRDefault="009368B4">
      <w:pPr>
        <w:adjustRightInd w:val="0"/>
        <w:snapToGrid w:val="0"/>
        <w:spacing w:line="276" w:lineRule="auto"/>
        <w:ind w:left="540" w:hanging="540"/>
        <w:jc w:val="left"/>
        <w:rPr>
          <w:rFonts w:ascii="Times New Roman" w:hAnsi="Times New Roman"/>
          <w:color w:val="000000"/>
          <w:szCs w:val="21"/>
        </w:rPr>
      </w:pPr>
    </w:p>
    <w:p w14:paraId="3EF22C19" w14:textId="77777777" w:rsidR="009368B4" w:rsidRDefault="00000000">
      <w:pPr>
        <w:tabs>
          <w:tab w:val="left" w:pos="449"/>
        </w:tabs>
        <w:adjustRightInd w:val="0"/>
        <w:snapToGrid w:val="0"/>
        <w:spacing w:line="276" w:lineRule="auto"/>
        <w:rPr>
          <w:rFonts w:ascii="Times New Roman" w:eastAsia="仿宋_GB2312" w:hAnsi="Times New Roman"/>
          <w:b/>
          <w:bCs/>
          <w:szCs w:val="21"/>
        </w:rPr>
      </w:pPr>
      <w:r>
        <w:rPr>
          <w:rFonts w:ascii="Times New Roman" w:eastAsia="仿宋_GB2312" w:hAnsi="Times New Roman" w:hint="eastAsia"/>
          <w:b/>
          <w:bCs/>
          <w:szCs w:val="21"/>
        </w:rPr>
        <w:t>A</w:t>
      </w:r>
      <w:r>
        <w:rPr>
          <w:rFonts w:ascii="Times New Roman" w:eastAsia="仿宋_GB2312" w:hAnsi="Times New Roman"/>
          <w:b/>
          <w:bCs/>
          <w:szCs w:val="21"/>
        </w:rPr>
        <w:t>ppendix A. Supplementary data</w:t>
      </w:r>
    </w:p>
    <w:p w14:paraId="6B928050" w14:textId="77777777" w:rsidR="009368B4" w:rsidRDefault="00000000">
      <w:pPr>
        <w:tabs>
          <w:tab w:val="left" w:pos="449"/>
        </w:tabs>
        <w:adjustRightInd w:val="0"/>
        <w:snapToGrid w:val="0"/>
        <w:spacing w:line="276" w:lineRule="auto"/>
        <w:rPr>
          <w:rFonts w:ascii="Times New Roman" w:eastAsia="仿宋_GB2312" w:hAnsi="Times New Roman"/>
          <w:szCs w:val="21"/>
        </w:rPr>
      </w:pPr>
      <w:r>
        <w:rPr>
          <w:rFonts w:ascii="Times New Roman" w:eastAsia="仿宋_GB2312" w:hAnsi="Times New Roman"/>
          <w:szCs w:val="21"/>
        </w:rPr>
        <w:t xml:space="preserve">Supplementary data to this article can be found online at </w:t>
      </w:r>
      <w:hyperlink r:id="rId10" w:history="1">
        <w:r>
          <w:rPr>
            <w:rStyle w:val="af2"/>
            <w:rFonts w:ascii="Times New Roman" w:eastAsia="仿宋_GB2312" w:hAnsi="Times New Roman"/>
            <w:szCs w:val="21"/>
          </w:rPr>
          <w:t>http://doi/org/...</w:t>
        </w:r>
      </w:hyperlink>
    </w:p>
    <w:p w14:paraId="6E5176F8" w14:textId="77777777" w:rsidR="009368B4" w:rsidRDefault="009368B4">
      <w:pPr>
        <w:adjustRightInd w:val="0"/>
        <w:snapToGrid w:val="0"/>
        <w:spacing w:line="276" w:lineRule="auto"/>
        <w:rPr>
          <w:rFonts w:ascii="Times New Roman" w:hAnsi="Times New Roman"/>
          <w:szCs w:val="21"/>
        </w:rPr>
      </w:pPr>
    </w:p>
    <w:sectPr w:rsidR="009368B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default"/>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FhYmM5NWM2MzQwYTg1MDkwZjc2MmUyY2M5ODBkMTQifQ=="/>
  </w:docVars>
  <w:rsids>
    <w:rsidRoot w:val="00172A27"/>
    <w:rsid w:val="BE4BA24E"/>
    <w:rsid w:val="EF5746F9"/>
    <w:rsid w:val="FBBFC381"/>
    <w:rsid w:val="00004DF7"/>
    <w:rsid w:val="00025F3D"/>
    <w:rsid w:val="00026B9E"/>
    <w:rsid w:val="000460A8"/>
    <w:rsid w:val="000469DC"/>
    <w:rsid w:val="00052829"/>
    <w:rsid w:val="000B0B98"/>
    <w:rsid w:val="000D17EC"/>
    <w:rsid w:val="000F4C0D"/>
    <w:rsid w:val="00127896"/>
    <w:rsid w:val="001418E4"/>
    <w:rsid w:val="00155F9A"/>
    <w:rsid w:val="00172A27"/>
    <w:rsid w:val="00186B5A"/>
    <w:rsid w:val="001B38C5"/>
    <w:rsid w:val="001D452A"/>
    <w:rsid w:val="001D4D45"/>
    <w:rsid w:val="00203ADC"/>
    <w:rsid w:val="00243DEE"/>
    <w:rsid w:val="00264796"/>
    <w:rsid w:val="002E074D"/>
    <w:rsid w:val="002E2CE7"/>
    <w:rsid w:val="002F54B4"/>
    <w:rsid w:val="00342872"/>
    <w:rsid w:val="003566A1"/>
    <w:rsid w:val="003635E5"/>
    <w:rsid w:val="003A49A0"/>
    <w:rsid w:val="003D2EB8"/>
    <w:rsid w:val="003F4D2F"/>
    <w:rsid w:val="0041524F"/>
    <w:rsid w:val="00447A15"/>
    <w:rsid w:val="004526FC"/>
    <w:rsid w:val="004649C2"/>
    <w:rsid w:val="004665E7"/>
    <w:rsid w:val="00494B4B"/>
    <w:rsid w:val="004C2556"/>
    <w:rsid w:val="00584DCF"/>
    <w:rsid w:val="00593D57"/>
    <w:rsid w:val="005B07C3"/>
    <w:rsid w:val="005C2948"/>
    <w:rsid w:val="005C5B41"/>
    <w:rsid w:val="005C5DF7"/>
    <w:rsid w:val="005E7F0B"/>
    <w:rsid w:val="005F47FD"/>
    <w:rsid w:val="00600E1F"/>
    <w:rsid w:val="00612EC0"/>
    <w:rsid w:val="00643B46"/>
    <w:rsid w:val="006C071E"/>
    <w:rsid w:val="006D5248"/>
    <w:rsid w:val="00702075"/>
    <w:rsid w:val="00710D86"/>
    <w:rsid w:val="00724C06"/>
    <w:rsid w:val="007520B6"/>
    <w:rsid w:val="007530FD"/>
    <w:rsid w:val="00781B2B"/>
    <w:rsid w:val="00796A7E"/>
    <w:rsid w:val="007A336E"/>
    <w:rsid w:val="007B471E"/>
    <w:rsid w:val="007B654E"/>
    <w:rsid w:val="007C19DF"/>
    <w:rsid w:val="007E0243"/>
    <w:rsid w:val="007F0924"/>
    <w:rsid w:val="00821665"/>
    <w:rsid w:val="0085093C"/>
    <w:rsid w:val="00892EC3"/>
    <w:rsid w:val="008A434C"/>
    <w:rsid w:val="008B3B43"/>
    <w:rsid w:val="00915B0D"/>
    <w:rsid w:val="009242A4"/>
    <w:rsid w:val="009368B4"/>
    <w:rsid w:val="00943F18"/>
    <w:rsid w:val="0095771A"/>
    <w:rsid w:val="00990293"/>
    <w:rsid w:val="009B7D4B"/>
    <w:rsid w:val="009D03EA"/>
    <w:rsid w:val="009D5EBC"/>
    <w:rsid w:val="00A067C6"/>
    <w:rsid w:val="00A133F5"/>
    <w:rsid w:val="00A356A8"/>
    <w:rsid w:val="00A37327"/>
    <w:rsid w:val="00A43295"/>
    <w:rsid w:val="00A53401"/>
    <w:rsid w:val="00A93DC3"/>
    <w:rsid w:val="00A93ECD"/>
    <w:rsid w:val="00AC6983"/>
    <w:rsid w:val="00B00638"/>
    <w:rsid w:val="00B0482F"/>
    <w:rsid w:val="00B276DC"/>
    <w:rsid w:val="00B85CBA"/>
    <w:rsid w:val="00B866F8"/>
    <w:rsid w:val="00B96173"/>
    <w:rsid w:val="00BB3C14"/>
    <w:rsid w:val="00C1342A"/>
    <w:rsid w:val="00C331F9"/>
    <w:rsid w:val="00C348D7"/>
    <w:rsid w:val="00C43BCE"/>
    <w:rsid w:val="00C71B0C"/>
    <w:rsid w:val="00C74DF8"/>
    <w:rsid w:val="00CF1497"/>
    <w:rsid w:val="00D051FD"/>
    <w:rsid w:val="00D35D92"/>
    <w:rsid w:val="00D4314F"/>
    <w:rsid w:val="00D74F03"/>
    <w:rsid w:val="00DB444E"/>
    <w:rsid w:val="00DC3AEC"/>
    <w:rsid w:val="00DE2727"/>
    <w:rsid w:val="00DF5AE6"/>
    <w:rsid w:val="00E146FB"/>
    <w:rsid w:val="00E53076"/>
    <w:rsid w:val="00E9416F"/>
    <w:rsid w:val="00E9677B"/>
    <w:rsid w:val="00EA0317"/>
    <w:rsid w:val="00EB26F7"/>
    <w:rsid w:val="00EC1B52"/>
    <w:rsid w:val="00EC5AFE"/>
    <w:rsid w:val="00ED47F0"/>
    <w:rsid w:val="00EE3348"/>
    <w:rsid w:val="00EE7BDC"/>
    <w:rsid w:val="00EE7BEA"/>
    <w:rsid w:val="00EF0C2B"/>
    <w:rsid w:val="00F2580D"/>
    <w:rsid w:val="00F30B65"/>
    <w:rsid w:val="00F3328B"/>
    <w:rsid w:val="00F46DD2"/>
    <w:rsid w:val="00F6545D"/>
    <w:rsid w:val="00F70DEC"/>
    <w:rsid w:val="02B5715C"/>
    <w:rsid w:val="0329686F"/>
    <w:rsid w:val="04236611"/>
    <w:rsid w:val="04403B98"/>
    <w:rsid w:val="05AD2297"/>
    <w:rsid w:val="0605728B"/>
    <w:rsid w:val="06DD76EE"/>
    <w:rsid w:val="074802C3"/>
    <w:rsid w:val="074D53D1"/>
    <w:rsid w:val="084D76D2"/>
    <w:rsid w:val="09720066"/>
    <w:rsid w:val="0A6B5431"/>
    <w:rsid w:val="0BA11A1C"/>
    <w:rsid w:val="0C2923D9"/>
    <w:rsid w:val="0CDF571A"/>
    <w:rsid w:val="0D79751C"/>
    <w:rsid w:val="0DCB70D9"/>
    <w:rsid w:val="0DF6147E"/>
    <w:rsid w:val="10C20AE9"/>
    <w:rsid w:val="11AD406E"/>
    <w:rsid w:val="11B95D3F"/>
    <w:rsid w:val="11D258F5"/>
    <w:rsid w:val="120371E5"/>
    <w:rsid w:val="124D22BA"/>
    <w:rsid w:val="12A74407"/>
    <w:rsid w:val="13107E58"/>
    <w:rsid w:val="13451652"/>
    <w:rsid w:val="13653079"/>
    <w:rsid w:val="13BE160E"/>
    <w:rsid w:val="14A93E6A"/>
    <w:rsid w:val="14FF4F3E"/>
    <w:rsid w:val="15B178BD"/>
    <w:rsid w:val="15E25B7C"/>
    <w:rsid w:val="16360A9E"/>
    <w:rsid w:val="17CD4706"/>
    <w:rsid w:val="17EB0621"/>
    <w:rsid w:val="18AB3E1F"/>
    <w:rsid w:val="18B52DD6"/>
    <w:rsid w:val="18BA2836"/>
    <w:rsid w:val="19331BED"/>
    <w:rsid w:val="1AE863FC"/>
    <w:rsid w:val="1B0A6B65"/>
    <w:rsid w:val="1B4F7258"/>
    <w:rsid w:val="1C8269F8"/>
    <w:rsid w:val="1CC14E82"/>
    <w:rsid w:val="1D7F389A"/>
    <w:rsid w:val="1DA94FD4"/>
    <w:rsid w:val="1E580DC1"/>
    <w:rsid w:val="1F200A96"/>
    <w:rsid w:val="1F3224E0"/>
    <w:rsid w:val="1F7E1C10"/>
    <w:rsid w:val="20A35650"/>
    <w:rsid w:val="20D04B6B"/>
    <w:rsid w:val="21046CF9"/>
    <w:rsid w:val="212A5FAC"/>
    <w:rsid w:val="2163410B"/>
    <w:rsid w:val="21B4337B"/>
    <w:rsid w:val="227026D7"/>
    <w:rsid w:val="227A6FE2"/>
    <w:rsid w:val="227E06DD"/>
    <w:rsid w:val="228C0117"/>
    <w:rsid w:val="22E469E1"/>
    <w:rsid w:val="22FC15FE"/>
    <w:rsid w:val="23466790"/>
    <w:rsid w:val="239577F6"/>
    <w:rsid w:val="23AD7D10"/>
    <w:rsid w:val="246B0BC2"/>
    <w:rsid w:val="24D65A9E"/>
    <w:rsid w:val="252A59C1"/>
    <w:rsid w:val="25353AA1"/>
    <w:rsid w:val="25575B43"/>
    <w:rsid w:val="263962CE"/>
    <w:rsid w:val="269401E7"/>
    <w:rsid w:val="26CA54D1"/>
    <w:rsid w:val="27B42B7C"/>
    <w:rsid w:val="290941C3"/>
    <w:rsid w:val="29E377B8"/>
    <w:rsid w:val="2D17241B"/>
    <w:rsid w:val="2D3B4C51"/>
    <w:rsid w:val="2D413FA4"/>
    <w:rsid w:val="2DBF5721"/>
    <w:rsid w:val="2E0D48EB"/>
    <w:rsid w:val="2E7774D1"/>
    <w:rsid w:val="2E7A2204"/>
    <w:rsid w:val="2EA90960"/>
    <w:rsid w:val="2F797C95"/>
    <w:rsid w:val="300F306A"/>
    <w:rsid w:val="30844C37"/>
    <w:rsid w:val="31D9505D"/>
    <w:rsid w:val="31F41185"/>
    <w:rsid w:val="32EB0152"/>
    <w:rsid w:val="33EA7A45"/>
    <w:rsid w:val="33EB61DB"/>
    <w:rsid w:val="34FD593C"/>
    <w:rsid w:val="35051C70"/>
    <w:rsid w:val="359E4819"/>
    <w:rsid w:val="36BF47AC"/>
    <w:rsid w:val="379744E5"/>
    <w:rsid w:val="38104425"/>
    <w:rsid w:val="38B21144"/>
    <w:rsid w:val="38C35655"/>
    <w:rsid w:val="3973314D"/>
    <w:rsid w:val="3A335DA8"/>
    <w:rsid w:val="3A375327"/>
    <w:rsid w:val="3AEA3B32"/>
    <w:rsid w:val="3AF30A8E"/>
    <w:rsid w:val="3BEA47D8"/>
    <w:rsid w:val="3C185E76"/>
    <w:rsid w:val="3C64314E"/>
    <w:rsid w:val="3D674A3A"/>
    <w:rsid w:val="3DF82214"/>
    <w:rsid w:val="3E9D6D04"/>
    <w:rsid w:val="3ED93065"/>
    <w:rsid w:val="3EEC6EB7"/>
    <w:rsid w:val="3F19478D"/>
    <w:rsid w:val="3FF51B86"/>
    <w:rsid w:val="40A8304A"/>
    <w:rsid w:val="427E7E07"/>
    <w:rsid w:val="43077552"/>
    <w:rsid w:val="433D50E6"/>
    <w:rsid w:val="434F77FF"/>
    <w:rsid w:val="44373366"/>
    <w:rsid w:val="44FE3725"/>
    <w:rsid w:val="45322A3B"/>
    <w:rsid w:val="45E105EA"/>
    <w:rsid w:val="46624145"/>
    <w:rsid w:val="46D20162"/>
    <w:rsid w:val="47F0027F"/>
    <w:rsid w:val="48641348"/>
    <w:rsid w:val="493C4104"/>
    <w:rsid w:val="4AB72629"/>
    <w:rsid w:val="4B572402"/>
    <w:rsid w:val="4DC217E5"/>
    <w:rsid w:val="4E4361B3"/>
    <w:rsid w:val="4FED2A48"/>
    <w:rsid w:val="4FEF6DF3"/>
    <w:rsid w:val="505D71AF"/>
    <w:rsid w:val="507C65CF"/>
    <w:rsid w:val="50A3118B"/>
    <w:rsid w:val="50B91B46"/>
    <w:rsid w:val="50DA7D1D"/>
    <w:rsid w:val="513972EC"/>
    <w:rsid w:val="52EB1375"/>
    <w:rsid w:val="53140C67"/>
    <w:rsid w:val="53B245C1"/>
    <w:rsid w:val="54100B28"/>
    <w:rsid w:val="546B04B3"/>
    <w:rsid w:val="54A90E01"/>
    <w:rsid w:val="54C6417C"/>
    <w:rsid w:val="56F27F31"/>
    <w:rsid w:val="578033E5"/>
    <w:rsid w:val="57D61E46"/>
    <w:rsid w:val="57FF4C58"/>
    <w:rsid w:val="583B169B"/>
    <w:rsid w:val="59444C41"/>
    <w:rsid w:val="598120D4"/>
    <w:rsid w:val="5AD40D74"/>
    <w:rsid w:val="5B403741"/>
    <w:rsid w:val="5BEB26E8"/>
    <w:rsid w:val="5C701C51"/>
    <w:rsid w:val="5D5867D6"/>
    <w:rsid w:val="5D5B5CCA"/>
    <w:rsid w:val="5DE057CC"/>
    <w:rsid w:val="5E177E43"/>
    <w:rsid w:val="5E335802"/>
    <w:rsid w:val="5E8A7BA7"/>
    <w:rsid w:val="5EDB408C"/>
    <w:rsid w:val="5F232509"/>
    <w:rsid w:val="5FEB23F5"/>
    <w:rsid w:val="5FEFE8F5"/>
    <w:rsid w:val="60A30C47"/>
    <w:rsid w:val="60EB6109"/>
    <w:rsid w:val="616719AC"/>
    <w:rsid w:val="616A065F"/>
    <w:rsid w:val="61A96736"/>
    <w:rsid w:val="626D33A6"/>
    <w:rsid w:val="62922CEE"/>
    <w:rsid w:val="62EB3DF0"/>
    <w:rsid w:val="630D2F2A"/>
    <w:rsid w:val="63326DD1"/>
    <w:rsid w:val="640D0734"/>
    <w:rsid w:val="65510D5D"/>
    <w:rsid w:val="657A4A24"/>
    <w:rsid w:val="65B07905"/>
    <w:rsid w:val="65B61252"/>
    <w:rsid w:val="66146FD6"/>
    <w:rsid w:val="66FE966D"/>
    <w:rsid w:val="67874F0A"/>
    <w:rsid w:val="67C1615A"/>
    <w:rsid w:val="689A74D5"/>
    <w:rsid w:val="69353238"/>
    <w:rsid w:val="69B84565"/>
    <w:rsid w:val="69E06B09"/>
    <w:rsid w:val="6A042842"/>
    <w:rsid w:val="6A8466F5"/>
    <w:rsid w:val="6ACA0083"/>
    <w:rsid w:val="6C113237"/>
    <w:rsid w:val="6C127465"/>
    <w:rsid w:val="6C760982"/>
    <w:rsid w:val="6CD32DE0"/>
    <w:rsid w:val="6DA76FC4"/>
    <w:rsid w:val="6E3D2E2D"/>
    <w:rsid w:val="6E5A395C"/>
    <w:rsid w:val="6E765385"/>
    <w:rsid w:val="6E7D5312"/>
    <w:rsid w:val="6E8B053C"/>
    <w:rsid w:val="6EDC339D"/>
    <w:rsid w:val="6EE75DC2"/>
    <w:rsid w:val="707059AD"/>
    <w:rsid w:val="7143052D"/>
    <w:rsid w:val="714705D2"/>
    <w:rsid w:val="7209579F"/>
    <w:rsid w:val="7261049B"/>
    <w:rsid w:val="727B420D"/>
    <w:rsid w:val="73256635"/>
    <w:rsid w:val="73BF4606"/>
    <w:rsid w:val="74A84B60"/>
    <w:rsid w:val="7638120F"/>
    <w:rsid w:val="76B6076C"/>
    <w:rsid w:val="77332E58"/>
    <w:rsid w:val="77554EDF"/>
    <w:rsid w:val="77F23211"/>
    <w:rsid w:val="786E6393"/>
    <w:rsid w:val="78731BF1"/>
    <w:rsid w:val="78F76DD7"/>
    <w:rsid w:val="791B6324"/>
    <w:rsid w:val="79DC53DD"/>
    <w:rsid w:val="7AEC7516"/>
    <w:rsid w:val="7AF03C93"/>
    <w:rsid w:val="7B5D4500"/>
    <w:rsid w:val="7B826B8D"/>
    <w:rsid w:val="7B991B84"/>
    <w:rsid w:val="7BA819A8"/>
    <w:rsid w:val="7D271B5D"/>
    <w:rsid w:val="7D474AC8"/>
    <w:rsid w:val="7D9166D3"/>
    <w:rsid w:val="7F5A2F5B"/>
    <w:rsid w:val="7FD1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71F12A"/>
  <w15:docId w15:val="{26F48945-BFC3-48E5-9058-F5D6A1C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spacing w:line="360" w:lineRule="auto"/>
    </w:pPr>
    <w:rPr>
      <w:rFonts w:ascii="Times" w:hAnsi="Times"/>
      <w:i/>
      <w:kern w:val="0"/>
      <w:sz w:val="20"/>
      <w:szCs w:val="20"/>
      <w:lang w:val="en-AU" w:eastAsia="en-US"/>
    </w:rPr>
  </w:style>
  <w:style w:type="paragraph" w:styleId="a4">
    <w:name w:val="annotation text"/>
    <w:basedOn w:val="a"/>
    <w:uiPriority w:val="99"/>
    <w:unhideWhenUsed/>
    <w:qFormat/>
    <w:rPr>
      <w:sz w:val="20"/>
      <w:szCs w:val="20"/>
    </w:rPr>
  </w:style>
  <w:style w:type="paragraph" w:styleId="a5">
    <w:name w:val="Date"/>
    <w:basedOn w:val="a"/>
    <w:next w:val="a"/>
    <w:link w:val="a6"/>
    <w:pPr>
      <w:ind w:leftChars="2500" w:left="100"/>
    </w:pPr>
  </w:style>
  <w:style w:type="paragraph" w:styleId="a7">
    <w:name w:val="Balloon Text"/>
    <w:basedOn w:val="a"/>
    <w:link w:val="a8"/>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rPr>
      <w:sz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rPr>
      <w:color w:val="954F72"/>
      <w:u w:val="single"/>
    </w:rPr>
  </w:style>
  <w:style w:type="character" w:styleId="af1">
    <w:name w:val="Emphasis"/>
    <w:uiPriority w:val="20"/>
    <w:qFormat/>
    <w:rPr>
      <w:i/>
      <w:iCs/>
    </w:rPr>
  </w:style>
  <w:style w:type="character" w:styleId="af2">
    <w:name w:val="Hyperlink"/>
    <w:basedOn w:val="a0"/>
    <w:rPr>
      <w:color w:val="0000FF"/>
      <w:u w:val="single"/>
    </w:rPr>
  </w:style>
  <w:style w:type="character" w:customStyle="1" w:styleId="a6">
    <w:name w:val="日期 字符"/>
    <w:link w:val="a5"/>
    <w:rPr>
      <w:rFonts w:ascii="Calibri" w:hAnsi="Calibri"/>
      <w:kern w:val="2"/>
      <w:sz w:val="21"/>
      <w:szCs w:val="24"/>
    </w:rPr>
  </w:style>
  <w:style w:type="character" w:customStyle="1" w:styleId="a8">
    <w:name w:val="批注框文本 字符"/>
    <w:link w:val="a7"/>
    <w:rPr>
      <w:rFonts w:ascii="Calibri" w:hAnsi="Calibri"/>
      <w:kern w:val="2"/>
      <w:sz w:val="18"/>
      <w:szCs w:val="18"/>
    </w:rPr>
  </w:style>
  <w:style w:type="character" w:customStyle="1" w:styleId="aa">
    <w:name w:val="页脚 字符"/>
    <w:link w:val="a9"/>
    <w:rPr>
      <w:rFonts w:ascii="Calibri" w:hAnsi="Calibri"/>
      <w:kern w:val="2"/>
      <w:sz w:val="18"/>
      <w:szCs w:val="18"/>
    </w:rPr>
  </w:style>
  <w:style w:type="character" w:customStyle="1" w:styleId="ac">
    <w:name w:val="页眉 字符"/>
    <w:link w:val="ab"/>
    <w:rPr>
      <w:rFonts w:ascii="Calibri" w:hAnsi="Calibri"/>
      <w:kern w:val="2"/>
      <w:sz w:val="18"/>
      <w:szCs w:val="18"/>
    </w:rPr>
  </w:style>
  <w:style w:type="character" w:customStyle="1" w:styleId="st">
    <w:name w:val="st"/>
  </w:style>
  <w:style w:type="paragraph" w:customStyle="1" w:styleId="p0">
    <w:name w:val="p0"/>
    <w:basedOn w:val="a"/>
    <w:qFormat/>
    <w:pPr>
      <w:widowControl/>
    </w:pPr>
    <w:rPr>
      <w:kern w:val="0"/>
      <w:szCs w:val="21"/>
    </w:rPr>
  </w:style>
  <w:style w:type="paragraph" w:styleId="af3">
    <w:name w:val="No Spacing"/>
    <w:uiPriority w:val="1"/>
    <w:qFormat/>
    <w:pPr>
      <w:spacing w:after="160" w:line="259" w:lineRule="auto"/>
    </w:pPr>
    <w:rPr>
      <w:rFonts w:eastAsia="Times New Roman"/>
      <w:color w:val="000000"/>
      <w:sz w:val="24"/>
      <w:szCs w:val="18"/>
    </w:rPr>
  </w:style>
  <w:style w:type="paragraph" w:customStyle="1" w:styleId="NoSpacing1">
    <w:name w:val="No Spacing1"/>
    <w:uiPriority w:val="1"/>
    <w:qFormat/>
    <w:rPr>
      <w:rFonts w:eastAsia="等线" w:cs="Arial"/>
      <w:sz w:val="24"/>
      <w:szCs w:val="22"/>
    </w:rPr>
  </w:style>
  <w:style w:type="paragraph" w:customStyle="1" w:styleId="af4">
    <w:uiPriority w:val="99"/>
    <w:unhideWhenUsed/>
    <w:rPr>
      <w:rFonts w:ascii="Calibri" w:hAnsi="Calibri"/>
      <w:kern w:val="2"/>
      <w:sz w:val="21"/>
      <w:szCs w:val="24"/>
    </w:rPr>
  </w:style>
  <w:style w:type="paragraph" w:customStyle="1" w:styleId="13authornames">
    <w:name w:val="1.3_authornames"/>
    <w:next w:val="a"/>
    <w:qFormat/>
    <w:pPr>
      <w:adjustRightInd w:val="0"/>
      <w:snapToGrid w:val="0"/>
      <w:spacing w:after="120" w:line="260" w:lineRule="atLeast"/>
    </w:pPr>
    <w:rPr>
      <w:rFonts w:ascii="Palatino Linotype" w:eastAsia="Times New Roman" w:hAnsi="Palatino Linotype"/>
      <w:b/>
      <w:color w:val="000000"/>
      <w:sz w:val="1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ssn.org/2-22661-LTWA-online.php"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sevier.com/artworkinstruction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oi/org/..." TargetMode="External"/><Relationship Id="rId4" Type="http://schemas.openxmlformats.org/officeDocument/2006/relationships/hyperlink" Target="mailto:e-mail@e-mail.com" TargetMode="External"/><Relationship Id="rId9" Type="http://schemas.openxmlformats.org/officeDocument/2006/relationships/hyperlink" Target="http://www.cancerresearchuk.org/aboutcancer/statistics/cancerstatsrepo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10039</Characters>
  <Application>Microsoft Office Word</Application>
  <DocSecurity>0</DocSecurity>
  <Lines>257</Lines>
  <Paragraphs>148</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catherine.liu@keaipublishing.com</dc:creator>
  <cp:lastModifiedBy>Oz Pan</cp:lastModifiedBy>
  <cp:revision>2</cp:revision>
  <dcterms:created xsi:type="dcterms:W3CDTF">2025-05-07T15:43:00Z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5F89A75D1535495A9B3916E7F92D1719_13</vt:lpwstr>
  </property>
  <property fmtid="{D5CDD505-2E9C-101B-9397-08002B2CF9AE}" pid="4" name="KSOTemplateDocerSaveRecord">
    <vt:lpwstr>eyJoZGlkIjoiZmU5MGI1OWVmOTg5YmJmNzhmNGVlODcyMTQ5MmQ2NzIiLCJ1c2VySWQiOiIzNTQ2NzUzNTAifQ==</vt:lpwstr>
  </property>
</Properties>
</file>