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9B00C">
      <w:pPr>
        <w:pStyle w:val="14"/>
        <w:spacing w:line="300" w:lineRule="auto"/>
        <w:ind w:firstLine="0" w:firstLineChars="0"/>
        <w:rPr>
          <w:b/>
          <w:bCs/>
          <w:color w:val="FF0000"/>
          <w:szCs w:val="21"/>
          <w:highlight w:val="lightGray"/>
        </w:rPr>
      </w:pPr>
      <w:r>
        <w:rPr>
          <w:b/>
          <w:bCs/>
          <w:color w:val="FF0000"/>
          <w:szCs w:val="21"/>
          <w:highlight w:val="lightGray"/>
        </w:rPr>
        <w:t>字体要求：文中所有的中文都使用“宋体”字体；所有的英文和数字都使用“Times New Roman”字体。</w:t>
      </w:r>
    </w:p>
    <w:p w14:paraId="32B3ACD4">
      <w:pPr>
        <w:pStyle w:val="14"/>
        <w:spacing w:line="300" w:lineRule="auto"/>
        <w:ind w:firstLine="0" w:firstLineChars="0"/>
        <w:rPr>
          <w:b/>
          <w:bCs/>
          <w:color w:val="FF0000"/>
          <w:szCs w:val="21"/>
        </w:rPr>
      </w:pPr>
      <w:r>
        <w:rPr>
          <w:b/>
          <w:bCs/>
          <w:color w:val="FF0000"/>
          <w:szCs w:val="21"/>
          <w:highlight w:val="lightGray"/>
        </w:rPr>
        <w:t>字号要求：除题目使用宋体小二号外，全文统一五号，1.25倍行距。</w:t>
      </w:r>
    </w:p>
    <w:p w14:paraId="31FA0D38">
      <w:pPr>
        <w:adjustRightInd w:val="0"/>
        <w:snapToGrid w:val="0"/>
        <w:spacing w:line="300" w:lineRule="auto"/>
        <w:jc w:val="center"/>
        <w:outlineLvl w:val="0"/>
        <w:rPr>
          <w:rFonts w:ascii="Times New Roman" w:hAnsi="Times New Roman" w:eastAsia="宋体" w:cs="黑体"/>
          <w:color w:val="FF0000"/>
          <w:sz w:val="36"/>
          <w:szCs w:val="36"/>
          <w:bdr w:val="single" w:color="auto" w:sz="4" w:space="0"/>
          <w:lang w:val="zh-CN"/>
        </w:rPr>
      </w:pPr>
      <w:r>
        <w:rPr>
          <w:rFonts w:hint="eastAsia" w:ascii="Times New Roman" w:hAnsi="Times New Roman" w:eastAsia="宋体" w:cs="黑体"/>
          <w:sz w:val="36"/>
          <w:szCs w:val="36"/>
          <w:lang w:val="zh-CN"/>
        </w:rPr>
        <w:t>中文题目</w:t>
      </w:r>
      <w:r>
        <w:rPr>
          <w:rFonts w:hint="eastAsia" w:ascii="Times New Roman" w:hAnsi="Times New Roman" w:eastAsia="宋体" w:cs="黑体"/>
          <w:color w:val="FF0000"/>
          <w:sz w:val="36"/>
          <w:szCs w:val="36"/>
          <w:bdr w:val="single" w:color="auto" w:sz="4" w:space="0"/>
          <w:lang w:val="zh-CN"/>
        </w:rPr>
        <w:t>小二号，宋体，不超过20个字</w:t>
      </w:r>
    </w:p>
    <w:p w14:paraId="01C532AD">
      <w:pPr>
        <w:spacing w:line="300" w:lineRule="auto"/>
        <w:rPr>
          <w:rFonts w:hint="default" w:ascii="Times New Roman" w:hAnsi="Times New Roman" w:eastAsia="宋体" w:cs="黑体"/>
          <w:szCs w:val="21"/>
          <w:lang w:val="en-US" w:eastAsia="zh-CN"/>
        </w:rPr>
      </w:pPr>
      <w:r>
        <w:rPr>
          <w:rFonts w:hint="eastAsia" w:ascii="Times New Roman" w:hAnsi="Times New Roman" w:eastAsia="宋体" w:cs="黑体"/>
          <w:szCs w:val="21"/>
          <w:lang w:val="en-US" w:eastAsia="zh-CN"/>
        </w:rPr>
        <w:t>作者及作者信息：</w:t>
      </w:r>
      <w:r>
        <w:rPr>
          <w:rFonts w:hint="eastAsia" w:ascii="Times New Roman" w:hAnsi="Times New Roman" w:eastAsia="宋体" w:cs="宋体"/>
          <w:color w:val="FF0000"/>
          <w:szCs w:val="21"/>
          <w:bdr w:val="single" w:color="auto" w:sz="4" w:space="0"/>
          <w:lang w:val="zh-CN"/>
        </w:rPr>
        <w:t>五号，宋体</w:t>
      </w:r>
    </w:p>
    <w:p w14:paraId="235D09B9">
      <w:pPr>
        <w:spacing w:line="300" w:lineRule="auto"/>
        <w:rPr>
          <w:rFonts w:ascii="Times New Roman" w:hAnsi="Times New Roman" w:eastAsia="宋体"/>
          <w:szCs w:val="21"/>
        </w:rPr>
      </w:pPr>
      <w:r>
        <w:rPr>
          <w:rFonts w:hint="eastAsia" w:ascii="Times New Roman" w:hAnsi="Times New Roman" w:eastAsia="宋体" w:cs="黑体"/>
          <w:szCs w:val="21"/>
          <w:lang w:val="zh-CN"/>
        </w:rPr>
        <w:t>摘要：</w:t>
      </w:r>
      <w:r>
        <w:rPr>
          <w:rFonts w:hint="eastAsia" w:ascii="Times New Roman" w:hAnsi="Times New Roman" w:eastAsia="宋体" w:cs="宋体"/>
          <w:color w:val="FF0000"/>
          <w:szCs w:val="21"/>
          <w:bdr w:val="single" w:color="auto" w:sz="4" w:space="0"/>
          <w:lang w:val="zh-CN"/>
        </w:rPr>
        <w:t>五号，宋体</w:t>
      </w:r>
    </w:p>
    <w:p w14:paraId="43A578B2">
      <w:pPr>
        <w:autoSpaceDE w:val="0"/>
        <w:autoSpaceDN w:val="0"/>
        <w:adjustRightInd w:val="0"/>
        <w:spacing w:line="300" w:lineRule="auto"/>
        <w:rPr>
          <w:rFonts w:hint="eastAsia" w:ascii="Times New Roman" w:hAnsi="Times New Roman" w:eastAsia="宋体" w:cs="宋体"/>
          <w:color w:val="FF0000"/>
          <w:szCs w:val="21"/>
          <w:bdr w:val="single" w:color="auto" w:sz="4" w:space="0"/>
          <w:lang w:val="zh-CN"/>
        </w:rPr>
      </w:pPr>
      <w:r>
        <w:rPr>
          <w:rFonts w:hint="eastAsia" w:ascii="Times New Roman" w:hAnsi="Times New Roman" w:eastAsia="宋体" w:cs="黑体"/>
          <w:szCs w:val="21"/>
          <w:lang w:val="zh-CN"/>
        </w:rPr>
        <w:t>关键词：</w:t>
      </w:r>
      <w:r>
        <w:rPr>
          <w:rFonts w:hint="eastAsia" w:ascii="Times New Roman" w:hAnsi="Times New Roman" w:eastAsia="宋体" w:cs="宋体"/>
          <w:color w:val="FF0000"/>
          <w:szCs w:val="21"/>
          <w:bdr w:val="single" w:color="auto" w:sz="4" w:space="0"/>
          <w:lang w:val="zh-CN"/>
        </w:rPr>
        <w:t>五号，宋体，以</w:t>
      </w:r>
      <w:r>
        <w:rPr>
          <w:rFonts w:ascii="Times New Roman" w:hAnsi="Times New Roman" w:eastAsia="宋体" w:cs="宋体"/>
          <w:color w:val="FF0000"/>
          <w:szCs w:val="21"/>
          <w:bdr w:val="single" w:color="auto" w:sz="4" w:space="0"/>
          <w:lang w:val="zh-CN"/>
        </w:rPr>
        <w:t>“</w:t>
      </w:r>
      <w:r>
        <w:rPr>
          <w:rFonts w:hint="eastAsia" w:ascii="Times New Roman" w:hAnsi="Times New Roman" w:eastAsia="宋体" w:cs="宋体"/>
          <w:color w:val="FF0000"/>
          <w:szCs w:val="21"/>
          <w:bdr w:val="single" w:color="auto" w:sz="4" w:space="0"/>
          <w:lang w:val="zh-CN"/>
        </w:rPr>
        <w:t>；</w:t>
      </w:r>
      <w:r>
        <w:rPr>
          <w:rFonts w:ascii="Times New Roman" w:hAnsi="Times New Roman" w:eastAsia="宋体" w:cs="宋体"/>
          <w:color w:val="FF0000"/>
          <w:szCs w:val="21"/>
          <w:bdr w:val="single" w:color="auto" w:sz="4" w:space="0"/>
          <w:lang w:val="zh-CN"/>
        </w:rPr>
        <w:t>”</w:t>
      </w:r>
      <w:r>
        <w:rPr>
          <w:rFonts w:hint="eastAsia" w:ascii="Times New Roman" w:hAnsi="Times New Roman" w:eastAsia="宋体" w:cs="宋体"/>
          <w:color w:val="FF0000"/>
          <w:szCs w:val="21"/>
          <w:bdr w:val="single" w:color="auto" w:sz="4" w:space="0"/>
          <w:lang w:val="zh-CN"/>
        </w:rPr>
        <w:t>间隔；关键词个数为3～8个</w:t>
      </w:r>
    </w:p>
    <w:p w14:paraId="6D82887B">
      <w:pPr>
        <w:tabs>
          <w:tab w:val="left" w:pos="360"/>
        </w:tabs>
        <w:spacing w:line="300" w:lineRule="auto"/>
        <w:jc w:val="center"/>
        <w:rPr>
          <w:rFonts w:hint="eastAsia" w:ascii="宋体" w:hAnsi="宋体" w:eastAsia="宋体"/>
          <w:lang w:val="en-US" w:eastAsia="zh-CN"/>
        </w:rPr>
      </w:pPr>
    </w:p>
    <w:p w14:paraId="03DF4E39">
      <w:pPr>
        <w:tabs>
          <w:tab w:val="left" w:pos="360"/>
        </w:tabs>
        <w:spacing w:line="300" w:lineRule="auto"/>
        <w:jc w:val="center"/>
        <w:rPr>
          <w:rFonts w:hint="eastAsia" w:ascii="宋体" w:hAnsi="宋体" w:eastAsia="宋体"/>
          <w:lang w:val="en-US" w:eastAsia="zh-CN"/>
        </w:rPr>
      </w:pPr>
    </w:p>
    <w:p w14:paraId="5EA57A24">
      <w:pPr>
        <w:tabs>
          <w:tab w:val="left" w:pos="360"/>
        </w:tabs>
        <w:spacing w:line="300" w:lineRule="auto"/>
        <w:jc w:val="left"/>
        <w:rPr>
          <w:rFonts w:hint="eastAsia" w:ascii="宋体" w:hAnsi="宋体" w:eastAsia="宋体"/>
          <w:sz w:val="36"/>
          <w:szCs w:val="36"/>
          <w:lang w:val="en-US" w:eastAsia="zh-CN"/>
        </w:rPr>
      </w:pPr>
      <w:r>
        <w:rPr>
          <w:rFonts w:hint="eastAsia" w:ascii="宋体" w:hAnsi="宋体" w:eastAsia="宋体"/>
          <w:sz w:val="36"/>
          <w:szCs w:val="36"/>
          <w:lang w:val="en-US" w:eastAsia="zh-CN"/>
        </w:rPr>
        <w:t>举例：</w:t>
      </w:r>
      <w:bookmarkStart w:id="0" w:name="_GoBack"/>
      <w:bookmarkEnd w:id="0"/>
    </w:p>
    <w:p w14:paraId="481C4E96">
      <w:pPr>
        <w:tabs>
          <w:tab w:val="left" w:pos="360"/>
        </w:tabs>
        <w:spacing w:line="300" w:lineRule="auto"/>
        <w:jc w:val="center"/>
        <w:rPr>
          <w:rFonts w:ascii="Times New Roman" w:hAnsi="Times New Roman" w:eastAsia="宋体" w:cs="Times New Roman"/>
          <w:sz w:val="36"/>
          <w:szCs w:val="36"/>
        </w:rPr>
      </w:pPr>
      <w:r>
        <w:rPr>
          <w:rFonts w:hint="eastAsia" w:ascii="Times New Roman" w:hAnsi="Times New Roman" w:eastAsia="宋体" w:cs="Times New Roman"/>
          <w:sz w:val="36"/>
          <w:szCs w:val="36"/>
        </w:rPr>
        <w:t>都市圈视阈下市民农园的空间分布格局及发展特征</w:t>
      </w:r>
    </w:p>
    <w:p w14:paraId="1093DC53">
      <w:pPr>
        <w:spacing w:line="300" w:lineRule="auto"/>
        <w:jc w:val="center"/>
        <w:rPr>
          <w:rFonts w:hint="eastAsia" w:ascii="宋体" w:hAnsi="宋体" w:eastAsia="宋体"/>
        </w:rPr>
      </w:pPr>
      <w:r>
        <w:rPr>
          <w:rFonts w:hint="eastAsia" w:ascii="宋体" w:hAnsi="宋体" w:eastAsia="宋体"/>
        </w:rPr>
        <w:t>李二四</w:t>
      </w:r>
      <w:r>
        <w:rPr>
          <w:rFonts w:ascii="宋体" w:hAnsi="宋体" w:eastAsia="宋体"/>
        </w:rPr>
        <w:t xml:space="preserve"> 王五*</w:t>
      </w:r>
    </w:p>
    <w:p w14:paraId="4DD445FE">
      <w:pPr>
        <w:spacing w:line="300" w:lineRule="auto"/>
        <w:rPr>
          <w:rFonts w:ascii="宋体" w:hAnsi="宋体" w:eastAsia="宋体"/>
        </w:rPr>
      </w:pPr>
      <w:r>
        <w:rPr>
          <w:rFonts w:hint="eastAsia" w:ascii="宋体" w:hAnsi="宋体" w:eastAsia="宋体"/>
        </w:rPr>
        <w:t>李二四</w:t>
      </w:r>
      <w:r>
        <w:rPr>
          <w:rFonts w:ascii="宋体" w:hAnsi="宋体" w:eastAsia="宋体"/>
        </w:rPr>
        <w:t>/女/（民族-汉族可省略）/北京林业大学园林学院在读博士研究生/城乡生态环境实验室/研究方向为风景园林历史与理论、风景园林规划与设计</w:t>
      </w:r>
    </w:p>
    <w:p w14:paraId="345E2575">
      <w:pPr>
        <w:spacing w:line="300" w:lineRule="auto"/>
        <w:rPr>
          <w:rFonts w:ascii="宋体" w:hAnsi="宋体" w:eastAsia="宋体"/>
        </w:rPr>
      </w:pPr>
      <w:r>
        <w:rPr>
          <w:rFonts w:hint="eastAsia" w:ascii="宋体" w:hAnsi="宋体" w:eastAsia="宋体"/>
        </w:rPr>
        <w:t>王五</w:t>
      </w:r>
      <w:r>
        <w:rPr>
          <w:rFonts w:ascii="宋体" w:hAnsi="宋体" w:eastAsia="宋体"/>
        </w:rPr>
        <w:t>/男/（民族-汉族可省略）/博士/北京林业大学园林学院教授/北京LA景观规划设计事务所设计总监/研究方向为风景园林规划与设计</w:t>
      </w:r>
    </w:p>
    <w:p w14:paraId="1ACFC569">
      <w:pPr>
        <w:spacing w:line="300" w:lineRule="auto"/>
        <w:rPr>
          <w:rFonts w:ascii="宋体" w:hAnsi="宋体" w:eastAsia="宋体"/>
        </w:rPr>
      </w:pPr>
      <w:r>
        <w:rPr>
          <w:rFonts w:hint="eastAsia" w:ascii="宋体" w:hAnsi="宋体" w:eastAsia="宋体"/>
        </w:rPr>
        <w:t>通信作者邮箱</w:t>
      </w:r>
      <w:r>
        <w:rPr>
          <w:rFonts w:ascii="宋体" w:hAnsi="宋体" w:eastAsia="宋体"/>
        </w:rPr>
        <w:t>：wangwu@163.com</w:t>
      </w:r>
    </w:p>
    <w:p w14:paraId="08B18071">
      <w:pPr>
        <w:tabs>
          <w:tab w:val="left" w:pos="360"/>
        </w:tabs>
        <w:spacing w:line="300" w:lineRule="auto"/>
        <w:jc w:val="center"/>
        <w:rPr>
          <w:rFonts w:ascii="Times New Roman" w:hAnsi="Times New Roman" w:eastAsia="宋体" w:cs="Times New Roman"/>
          <w:sz w:val="36"/>
          <w:szCs w:val="36"/>
          <w:shd w:val="clear" w:color="auto" w:fill="FFFFFF"/>
        </w:rPr>
      </w:pPr>
    </w:p>
    <w:p w14:paraId="345DF8F3">
      <w:pPr>
        <w:tabs>
          <w:tab w:val="left" w:pos="360"/>
        </w:tabs>
        <w:spacing w:line="300" w:lineRule="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摘要：</w:t>
      </w:r>
      <w:r>
        <w:rPr>
          <w:rFonts w:hint="eastAsia" w:ascii="Times New Roman" w:hAnsi="Times New Roman" w:eastAsia="宋体" w:cs="Times New Roman"/>
          <w:color w:val="0070C0"/>
          <w:szCs w:val="21"/>
          <w:shd w:val="clear" w:color="auto" w:fill="FFFFFF"/>
        </w:rPr>
        <w:t>【目的】</w:t>
      </w:r>
      <w:r>
        <w:rPr>
          <w:rFonts w:ascii="Times New Roman" w:hAnsi="Times New Roman" w:eastAsia="宋体" w:cs="Times New Roman"/>
          <w:szCs w:val="21"/>
          <w:shd w:val="clear" w:color="auto" w:fill="FFFFFF"/>
        </w:rPr>
        <w:t>都市圈已成为新型城镇化背景下城市建设的主体形态，以市民农园为代表的都市农业是其中重要的体验型绿色人居互动空间。明确市民农园的空间分布格局及发展特征，能够为未来中国都市圈发展背景下的都市农业空间形态及布局提供理论支持。</w:t>
      </w:r>
      <w:r>
        <w:rPr>
          <w:rFonts w:ascii="Times New Roman" w:hAnsi="Times New Roman" w:eastAsia="宋体" w:cs="Times New Roman"/>
          <w:color w:val="0070C0"/>
          <w:szCs w:val="21"/>
          <w:shd w:val="clear" w:color="auto" w:fill="FFFFFF"/>
        </w:rPr>
        <w:t>【方法】</w:t>
      </w:r>
      <w:r>
        <w:rPr>
          <w:rFonts w:ascii="Times New Roman" w:hAnsi="Times New Roman" w:eastAsia="宋体" w:cs="Times New Roman"/>
          <w:szCs w:val="21"/>
          <w:shd w:val="clear" w:color="auto" w:fill="FFFFFF"/>
        </w:rPr>
        <w:t>以日本首都圈内的市民农园为研究对象</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运用最近邻指数分析、核密度估计法、标准差椭圆分析法揭示日本首都圈内市民农园的空间分布特征</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并针对市民农园数量、平均面积大小等5项指标进行可视化分析。针对交通、经济发展水平、人口组成、政策4个层面要素，利用相关性分析与空间叠合展开关于市</w:t>
      </w:r>
      <w:r>
        <w:rPr>
          <w:rFonts w:hint="eastAsia" w:ascii="Times New Roman" w:hAnsi="Times New Roman" w:eastAsia="宋体" w:cs="Times New Roman"/>
          <w:szCs w:val="21"/>
          <w:shd w:val="clear" w:color="auto" w:fill="FFFFFF"/>
        </w:rPr>
        <w:t>民农园分布的内因机制的讨论。</w:t>
      </w:r>
      <w:r>
        <w:rPr>
          <w:rFonts w:ascii="Times New Roman" w:hAnsi="Times New Roman" w:eastAsia="宋体" w:cs="Times New Roman"/>
          <w:color w:val="0070C0"/>
          <w:szCs w:val="21"/>
          <w:shd w:val="clear" w:color="auto" w:fill="FFFFFF"/>
        </w:rPr>
        <w:t>【结果】</w:t>
      </w:r>
      <w:r>
        <w:rPr>
          <w:rFonts w:ascii="Times New Roman" w:hAnsi="Times New Roman" w:eastAsia="宋体" w:cs="Times New Roman"/>
          <w:szCs w:val="21"/>
          <w:shd w:val="clear" w:color="auto" w:fill="FFFFFF"/>
        </w:rPr>
        <w:t>分析结果表明日本首都圈内的市民农园在空间上具有片状结合点状、向心性、圈层性的分布特征</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轨道交通、年人均收入、人口密度、人口老龄化程度以及政策制度对市民农园分布均有一定影响。</w:t>
      </w:r>
      <w:r>
        <w:rPr>
          <w:rFonts w:ascii="Times New Roman" w:hAnsi="Times New Roman" w:eastAsia="宋体" w:cs="Times New Roman"/>
          <w:color w:val="0070C0"/>
          <w:szCs w:val="21"/>
          <w:shd w:val="clear" w:color="auto" w:fill="FFFFFF"/>
        </w:rPr>
        <w:t>【结论】</w:t>
      </w:r>
      <w:r>
        <w:rPr>
          <w:rFonts w:ascii="Times New Roman" w:hAnsi="Times New Roman" w:eastAsia="宋体" w:cs="Times New Roman"/>
          <w:szCs w:val="21"/>
          <w:shd w:val="clear" w:color="auto" w:fill="FFFFFF"/>
        </w:rPr>
        <w:t>在此基础上，对比中国都市圈水平下城市发展现状及治理问题，分析市民农园发展前景与趋势，提出适合中国都市圈建设背景的体验型绿色开放空间的布局选址建议。</w:t>
      </w:r>
    </w:p>
    <w:p w14:paraId="0873A075">
      <w:pPr>
        <w:spacing w:line="300" w:lineRule="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关键词：</w:t>
      </w:r>
      <w:r>
        <w:rPr>
          <w:rFonts w:hint="eastAsia" w:ascii="Times New Roman" w:hAnsi="Times New Roman" w:eastAsia="宋体" w:cs="Times New Roman"/>
          <w:szCs w:val="21"/>
          <w:shd w:val="clear" w:color="auto" w:fill="FFFFFF"/>
        </w:rPr>
        <w:t>都市圈；</w:t>
      </w:r>
      <w:r>
        <w:rPr>
          <w:rFonts w:ascii="Times New Roman" w:hAnsi="Times New Roman" w:eastAsia="宋体" w:cs="Times New Roman"/>
          <w:szCs w:val="21"/>
          <w:shd w:val="clear" w:color="auto" w:fill="FFFFFF"/>
        </w:rPr>
        <w:t>城市绿色空间</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都市农业</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市民农园</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日本首都圈</w:t>
      </w:r>
    </w:p>
    <w:p w14:paraId="2125233F">
      <w:pPr>
        <w:spacing w:line="300" w:lineRule="auto"/>
        <w:rPr>
          <w:rFonts w:ascii="Times New Roman" w:hAnsi="Times New Roman" w:eastAsia="宋体" w:cs="Times New Roman"/>
          <w:szCs w:val="21"/>
        </w:rPr>
      </w:pPr>
    </w:p>
    <w:p w14:paraId="62EE2542">
      <w:pPr>
        <w:spacing w:line="300" w:lineRule="auto"/>
        <w:rPr>
          <w:rFonts w:hint="eastAsia" w:ascii="宋体" w:hAnsi="宋体" w:eastAsia="宋体"/>
          <w:lang w:val="en-US" w:eastAsia="zh-CN"/>
        </w:rPr>
      </w:pPr>
    </w:p>
    <w:p w14:paraId="776B3729">
      <w:pPr>
        <w:autoSpaceDE w:val="0"/>
        <w:autoSpaceDN w:val="0"/>
        <w:adjustRightInd w:val="0"/>
        <w:spacing w:line="300" w:lineRule="auto"/>
        <w:rPr>
          <w:rFonts w:hint="eastAsia" w:ascii="Times New Roman" w:hAnsi="Times New Roman" w:eastAsia="宋体" w:cs="宋体"/>
          <w:color w:val="FF0000"/>
          <w:szCs w:val="21"/>
          <w:bdr w:val="single" w:color="auto" w:sz="4" w:space="0"/>
          <w:lang w:val="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宋_GBK">
    <w:altName w:val="宋体"/>
    <w:panose1 w:val="03000509000000000000"/>
    <w:charset w:val="86"/>
    <w:family w:val="script"/>
    <w:pitch w:val="default"/>
    <w:sig w:usb0="00000000" w:usb1="00000000" w:usb2="00000010" w:usb3="00000000" w:csb0="00040000" w:csb1="00000000"/>
  </w:font>
  <w:font w:name="Cambria (OTF)">
    <w:altName w:val="Cambria"/>
    <w:panose1 w:val="00000000000000000000"/>
    <w:charset w:val="00"/>
    <w:family w:val="auto"/>
    <w:pitch w:val="default"/>
    <w:sig w:usb0="00000000" w:usb1="00000000" w:usb2="00000000" w:usb3="00000000" w:csb0="00000001" w:csb1="00000000"/>
  </w:font>
  <w:font w:name="宋体 (TT) Regular">
    <w:altName w:val="宋体"/>
    <w:panose1 w:val="00000000000000000000"/>
    <w:charset w:val="86"/>
    <w:family w:val="auto"/>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ATC-590d54085b574f53*-*534e6587">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23"/>
    <w:rsid w:val="00004A96"/>
    <w:rsid w:val="000057FE"/>
    <w:rsid w:val="000253ED"/>
    <w:rsid w:val="000559A6"/>
    <w:rsid w:val="000A24AA"/>
    <w:rsid w:val="000A277E"/>
    <w:rsid w:val="000C35D7"/>
    <w:rsid w:val="000C4A35"/>
    <w:rsid w:val="000D71B9"/>
    <w:rsid w:val="000F506F"/>
    <w:rsid w:val="00102F6E"/>
    <w:rsid w:val="00107981"/>
    <w:rsid w:val="001372D5"/>
    <w:rsid w:val="00160390"/>
    <w:rsid w:val="00160487"/>
    <w:rsid w:val="00161CB3"/>
    <w:rsid w:val="00187B23"/>
    <w:rsid w:val="001B4616"/>
    <w:rsid w:val="001D4AC0"/>
    <w:rsid w:val="001E109C"/>
    <w:rsid w:val="001E3AAB"/>
    <w:rsid w:val="00245598"/>
    <w:rsid w:val="002503EB"/>
    <w:rsid w:val="00251064"/>
    <w:rsid w:val="0025353E"/>
    <w:rsid w:val="002548F1"/>
    <w:rsid w:val="00272F16"/>
    <w:rsid w:val="00280408"/>
    <w:rsid w:val="00287E1C"/>
    <w:rsid w:val="002B0E94"/>
    <w:rsid w:val="002B7D8A"/>
    <w:rsid w:val="002E1701"/>
    <w:rsid w:val="002F37EA"/>
    <w:rsid w:val="00300694"/>
    <w:rsid w:val="00304A68"/>
    <w:rsid w:val="00306FF0"/>
    <w:rsid w:val="00307867"/>
    <w:rsid w:val="00364298"/>
    <w:rsid w:val="00371AE4"/>
    <w:rsid w:val="00373B19"/>
    <w:rsid w:val="00394C8E"/>
    <w:rsid w:val="00395131"/>
    <w:rsid w:val="003A73C8"/>
    <w:rsid w:val="003B4370"/>
    <w:rsid w:val="003B72D9"/>
    <w:rsid w:val="003E359B"/>
    <w:rsid w:val="0041096C"/>
    <w:rsid w:val="00410DA6"/>
    <w:rsid w:val="004454F1"/>
    <w:rsid w:val="00446985"/>
    <w:rsid w:val="00471CAC"/>
    <w:rsid w:val="00486799"/>
    <w:rsid w:val="00497FD4"/>
    <w:rsid w:val="004A07AB"/>
    <w:rsid w:val="004B3E27"/>
    <w:rsid w:val="004D6C0B"/>
    <w:rsid w:val="004E1C0F"/>
    <w:rsid w:val="004E3EB3"/>
    <w:rsid w:val="004E3F2A"/>
    <w:rsid w:val="00505E42"/>
    <w:rsid w:val="0051684F"/>
    <w:rsid w:val="00521290"/>
    <w:rsid w:val="00524FFD"/>
    <w:rsid w:val="00543E9F"/>
    <w:rsid w:val="00571D13"/>
    <w:rsid w:val="00583788"/>
    <w:rsid w:val="0058646F"/>
    <w:rsid w:val="0059559D"/>
    <w:rsid w:val="005A741D"/>
    <w:rsid w:val="005C0345"/>
    <w:rsid w:val="005C49FA"/>
    <w:rsid w:val="005C6611"/>
    <w:rsid w:val="005F5D3C"/>
    <w:rsid w:val="00601332"/>
    <w:rsid w:val="00611BEF"/>
    <w:rsid w:val="006153EE"/>
    <w:rsid w:val="00617A53"/>
    <w:rsid w:val="00621607"/>
    <w:rsid w:val="00636AD9"/>
    <w:rsid w:val="00650956"/>
    <w:rsid w:val="00664B9E"/>
    <w:rsid w:val="00666913"/>
    <w:rsid w:val="00672913"/>
    <w:rsid w:val="006A307F"/>
    <w:rsid w:val="006C30D9"/>
    <w:rsid w:val="006C4E4E"/>
    <w:rsid w:val="006E7F96"/>
    <w:rsid w:val="006F47CB"/>
    <w:rsid w:val="00705C1C"/>
    <w:rsid w:val="00706208"/>
    <w:rsid w:val="007639BF"/>
    <w:rsid w:val="00792618"/>
    <w:rsid w:val="00793C1F"/>
    <w:rsid w:val="007A5910"/>
    <w:rsid w:val="007C3B70"/>
    <w:rsid w:val="007C53BB"/>
    <w:rsid w:val="007C695C"/>
    <w:rsid w:val="007D4447"/>
    <w:rsid w:val="007E4DD4"/>
    <w:rsid w:val="007E5AE9"/>
    <w:rsid w:val="007E7CEC"/>
    <w:rsid w:val="007F1601"/>
    <w:rsid w:val="007F2D62"/>
    <w:rsid w:val="0080078C"/>
    <w:rsid w:val="00823F83"/>
    <w:rsid w:val="00832DF7"/>
    <w:rsid w:val="008375C4"/>
    <w:rsid w:val="0084214A"/>
    <w:rsid w:val="00864F75"/>
    <w:rsid w:val="008A05E1"/>
    <w:rsid w:val="008B48FA"/>
    <w:rsid w:val="008C40E0"/>
    <w:rsid w:val="008E1F7B"/>
    <w:rsid w:val="008E5DD9"/>
    <w:rsid w:val="008F284F"/>
    <w:rsid w:val="009038F2"/>
    <w:rsid w:val="00906C48"/>
    <w:rsid w:val="009131B8"/>
    <w:rsid w:val="009224A5"/>
    <w:rsid w:val="009255EE"/>
    <w:rsid w:val="00933752"/>
    <w:rsid w:val="009352E6"/>
    <w:rsid w:val="00947D98"/>
    <w:rsid w:val="0098264F"/>
    <w:rsid w:val="00996CB3"/>
    <w:rsid w:val="00997312"/>
    <w:rsid w:val="009A4A98"/>
    <w:rsid w:val="009A603D"/>
    <w:rsid w:val="009B69DF"/>
    <w:rsid w:val="009C3AE4"/>
    <w:rsid w:val="009D0E16"/>
    <w:rsid w:val="009D6662"/>
    <w:rsid w:val="009E03D7"/>
    <w:rsid w:val="009E2FC0"/>
    <w:rsid w:val="009E3A21"/>
    <w:rsid w:val="009E5F66"/>
    <w:rsid w:val="009F3BE8"/>
    <w:rsid w:val="00A047C7"/>
    <w:rsid w:val="00A0719A"/>
    <w:rsid w:val="00A463DF"/>
    <w:rsid w:val="00A6505E"/>
    <w:rsid w:val="00A70DA9"/>
    <w:rsid w:val="00A823BF"/>
    <w:rsid w:val="00A84832"/>
    <w:rsid w:val="00A90B19"/>
    <w:rsid w:val="00AA3815"/>
    <w:rsid w:val="00AA4FF5"/>
    <w:rsid w:val="00AB0820"/>
    <w:rsid w:val="00AB422A"/>
    <w:rsid w:val="00AE08D6"/>
    <w:rsid w:val="00AE7234"/>
    <w:rsid w:val="00AF187C"/>
    <w:rsid w:val="00B06A21"/>
    <w:rsid w:val="00B12C2A"/>
    <w:rsid w:val="00B207FC"/>
    <w:rsid w:val="00B42BAC"/>
    <w:rsid w:val="00B72FA0"/>
    <w:rsid w:val="00B80375"/>
    <w:rsid w:val="00B8614B"/>
    <w:rsid w:val="00BB5C75"/>
    <w:rsid w:val="00BC353D"/>
    <w:rsid w:val="00BD1452"/>
    <w:rsid w:val="00BD2D64"/>
    <w:rsid w:val="00BF015E"/>
    <w:rsid w:val="00C165E7"/>
    <w:rsid w:val="00C16E3E"/>
    <w:rsid w:val="00C33E97"/>
    <w:rsid w:val="00C41410"/>
    <w:rsid w:val="00C61C9D"/>
    <w:rsid w:val="00C6554D"/>
    <w:rsid w:val="00C811DD"/>
    <w:rsid w:val="00CB6304"/>
    <w:rsid w:val="00CC35F1"/>
    <w:rsid w:val="00CE1C50"/>
    <w:rsid w:val="00CE1FA9"/>
    <w:rsid w:val="00CF76B3"/>
    <w:rsid w:val="00D05AC2"/>
    <w:rsid w:val="00D11783"/>
    <w:rsid w:val="00D378B4"/>
    <w:rsid w:val="00D46F40"/>
    <w:rsid w:val="00D830FC"/>
    <w:rsid w:val="00D86ECD"/>
    <w:rsid w:val="00D943DB"/>
    <w:rsid w:val="00D96237"/>
    <w:rsid w:val="00DA62CB"/>
    <w:rsid w:val="00DB79BC"/>
    <w:rsid w:val="00DC36F9"/>
    <w:rsid w:val="00DD193F"/>
    <w:rsid w:val="00DD33E9"/>
    <w:rsid w:val="00DD5BFA"/>
    <w:rsid w:val="00DE59FF"/>
    <w:rsid w:val="00E00E0C"/>
    <w:rsid w:val="00E10BD7"/>
    <w:rsid w:val="00E17E2D"/>
    <w:rsid w:val="00E446F6"/>
    <w:rsid w:val="00E75283"/>
    <w:rsid w:val="00E81AE9"/>
    <w:rsid w:val="00EA73BA"/>
    <w:rsid w:val="00EB13F4"/>
    <w:rsid w:val="00EC64BE"/>
    <w:rsid w:val="00ED24A2"/>
    <w:rsid w:val="00EF6B3E"/>
    <w:rsid w:val="00F07737"/>
    <w:rsid w:val="00F24DF5"/>
    <w:rsid w:val="00F3625C"/>
    <w:rsid w:val="00F46CC9"/>
    <w:rsid w:val="00F52ACF"/>
    <w:rsid w:val="00F70BF3"/>
    <w:rsid w:val="00F86CBD"/>
    <w:rsid w:val="00F9203B"/>
    <w:rsid w:val="00F95E59"/>
    <w:rsid w:val="00FA0B80"/>
    <w:rsid w:val="00FC42D2"/>
    <w:rsid w:val="00FC6FF9"/>
    <w:rsid w:val="00FD364F"/>
    <w:rsid w:val="00FE0C02"/>
    <w:rsid w:val="00FE1864"/>
    <w:rsid w:val="00FE2233"/>
    <w:rsid w:val="00FE5B0D"/>
    <w:rsid w:val="449A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pPr>
      <w:jc w:val="left"/>
    </w:pPr>
  </w:style>
  <w:style w:type="paragraph" w:styleId="3">
    <w:name w:val="Date"/>
    <w:basedOn w:val="1"/>
    <w:next w:val="1"/>
    <w:link w:val="17"/>
    <w:semiHidden/>
    <w:unhideWhenUsed/>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unhideWhenUsed/>
    <w:uiPriority w:val="99"/>
    <w:pPr>
      <w:snapToGrid w:val="0"/>
      <w:jc w:val="left"/>
    </w:pPr>
    <w:rPr>
      <w:sz w:val="18"/>
      <w:szCs w:val="18"/>
    </w:rPr>
  </w:style>
  <w:style w:type="paragraph" w:styleId="8">
    <w:name w:val="annotation subject"/>
    <w:basedOn w:val="2"/>
    <w:next w:val="2"/>
    <w:link w:val="26"/>
    <w:semiHidden/>
    <w:unhideWhenUsed/>
    <w:qFormat/>
    <w:uiPriority w:val="99"/>
    <w:rPr>
      <w:b/>
      <w:bCs/>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styleId="13">
    <w:name w:val="footnote reference"/>
    <w:uiPriority w:val="0"/>
    <w:rPr>
      <w:rFonts w:hint="default" w:ascii="Times New Roman"/>
      <w:vertAlign w:val="superscript"/>
    </w:rPr>
  </w:style>
  <w:style w:type="paragraph" w:customStyle="1" w:styleId="14">
    <w:name w:val="列出段落1"/>
    <w:basedOn w:val="1"/>
    <w:qFormat/>
    <w:uiPriority w:val="34"/>
    <w:pPr>
      <w:ind w:firstLine="420" w:firstLineChars="200"/>
    </w:pPr>
    <w:rPr>
      <w:rFonts w:ascii="Times New Roman" w:hAnsi="Times New Roman" w:eastAsia="宋体" w:cs="Times New Roman"/>
      <w:szCs w:val="24"/>
    </w:rPr>
  </w:style>
  <w:style w:type="character" w:customStyle="1" w:styleId="15">
    <w:name w:val="页眉 字符"/>
    <w:basedOn w:val="11"/>
    <w:link w:val="6"/>
    <w:uiPriority w:val="99"/>
    <w:rPr>
      <w:sz w:val="18"/>
      <w:szCs w:val="18"/>
    </w:rPr>
  </w:style>
  <w:style w:type="character" w:customStyle="1" w:styleId="16">
    <w:name w:val="页脚 字符"/>
    <w:basedOn w:val="11"/>
    <w:link w:val="5"/>
    <w:uiPriority w:val="99"/>
    <w:rPr>
      <w:sz w:val="18"/>
      <w:szCs w:val="18"/>
    </w:rPr>
  </w:style>
  <w:style w:type="character" w:customStyle="1" w:styleId="17">
    <w:name w:val="日期 字符"/>
    <w:basedOn w:val="11"/>
    <w:link w:val="3"/>
    <w:semiHidden/>
    <w:uiPriority w:val="99"/>
  </w:style>
  <w:style w:type="character" w:customStyle="1" w:styleId="18">
    <w:name w:val="脚注文本 字符"/>
    <w:basedOn w:val="11"/>
    <w:link w:val="7"/>
    <w:semiHidden/>
    <w:qFormat/>
    <w:uiPriority w:val="99"/>
    <w:rPr>
      <w:sz w:val="18"/>
      <w:szCs w:val="18"/>
    </w:rPr>
  </w:style>
  <w:style w:type="character" w:customStyle="1" w:styleId="19">
    <w:name w:val="批注框文本 字符"/>
    <w:basedOn w:val="11"/>
    <w:link w:val="4"/>
    <w:semiHidden/>
    <w:qFormat/>
    <w:uiPriority w:val="99"/>
    <w:rPr>
      <w:sz w:val="18"/>
      <w:szCs w:val="18"/>
    </w:rPr>
  </w:style>
  <w:style w:type="paragraph" w:customStyle="1" w:styleId="20">
    <w:name w:val="[无段落样式]"/>
    <w:uiPriority w:val="0"/>
    <w:pPr>
      <w:widowControl w:val="0"/>
      <w:autoSpaceDE w:val="0"/>
      <w:autoSpaceDN w:val="0"/>
      <w:adjustRightInd w:val="0"/>
      <w:spacing w:line="288" w:lineRule="auto"/>
      <w:jc w:val="both"/>
      <w:textAlignment w:val="center"/>
    </w:pPr>
    <w:rPr>
      <w:rFonts w:ascii="方正兰亭宋_GBK" w:eastAsia="方正兰亭宋_GBK" w:hAnsiTheme="minorHAnsi" w:cstheme="minorBidi"/>
      <w:color w:val="000000"/>
      <w:kern w:val="0"/>
      <w:sz w:val="24"/>
      <w:szCs w:val="24"/>
      <w:lang w:val="zh-CN" w:eastAsia="zh-CN" w:bidi="ar-SA"/>
    </w:rPr>
  </w:style>
  <w:style w:type="character" w:customStyle="1" w:styleId="21">
    <w:name w:val="表标题-中"/>
    <w:qFormat/>
    <w:uiPriority w:val="99"/>
    <w:rPr>
      <w:rFonts w:ascii="方正兰亭宋_GBK" w:eastAsia="方正兰亭宋_GBK" w:cs="方正兰亭宋_GBK"/>
      <w:spacing w:val="0"/>
      <w:sz w:val="14"/>
      <w:szCs w:val="14"/>
    </w:rPr>
  </w:style>
  <w:style w:type="paragraph" w:styleId="22">
    <w:name w:val="List Paragraph"/>
    <w:basedOn w:val="1"/>
    <w:qFormat/>
    <w:uiPriority w:val="99"/>
    <w:pPr>
      <w:autoSpaceDE w:val="0"/>
      <w:autoSpaceDN w:val="0"/>
      <w:adjustRightInd w:val="0"/>
      <w:spacing w:line="280" w:lineRule="atLeast"/>
      <w:ind w:firstLine="420"/>
      <w:textAlignment w:val="center"/>
    </w:pPr>
    <w:rPr>
      <w:rFonts w:ascii="Cambria (OTF)" w:hAnsi="Cambria (OTF)" w:eastAsia="宋体 (TT) Regular" w:cs="Cambria (OTF)"/>
      <w:color w:val="000000"/>
      <w:kern w:val="0"/>
      <w:sz w:val="18"/>
      <w:szCs w:val="18"/>
    </w:rPr>
  </w:style>
  <w:style w:type="paragraph" w:customStyle="1" w:styleId="23">
    <w:name w:val="[基本段落]"/>
    <w:basedOn w:val="20"/>
    <w:qFormat/>
    <w:uiPriority w:val="99"/>
    <w:rPr>
      <w:rFonts w:ascii="Adobe 宋体 Std L" w:eastAsia="Adobe 宋体 Std L" w:cs="Adobe 宋体 Std L"/>
    </w:rPr>
  </w:style>
  <w:style w:type="character" w:customStyle="1" w:styleId="24">
    <w:name w:val="图说"/>
    <w:qFormat/>
    <w:uiPriority w:val="99"/>
    <w:rPr>
      <w:rFonts w:ascii="ATC-590d54085b574f53*-*534e6587" w:eastAsia="ATC-590d54085b574f53*-*534e6587" w:cs="ATC-590d54085b574f53*-*534e6587"/>
      <w:color w:val="888889"/>
      <w:spacing w:val="0"/>
      <w:sz w:val="14"/>
      <w:szCs w:val="14"/>
    </w:rPr>
  </w:style>
  <w:style w:type="character" w:customStyle="1" w:styleId="25">
    <w:name w:val="批注文字 字符"/>
    <w:basedOn w:val="11"/>
    <w:link w:val="2"/>
    <w:semiHidden/>
    <w:uiPriority w:val="99"/>
  </w:style>
  <w:style w:type="character" w:customStyle="1" w:styleId="26">
    <w:name w:val="批注主题 字符"/>
    <w:basedOn w:val="25"/>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8585-2D76-44EB-AC5F-4A81B8B12CC9}">
  <ds:schemaRefs/>
</ds:datastoreItem>
</file>

<file path=docProps/app.xml><?xml version="1.0" encoding="utf-8"?>
<Properties xmlns="http://schemas.openxmlformats.org/officeDocument/2006/extended-properties" xmlns:vt="http://schemas.openxmlformats.org/officeDocument/2006/docPropsVTypes">
  <Template>Normal</Template>
  <Pages>1</Pages>
  <Words>3880</Words>
  <Characters>6135</Characters>
  <Lines>48</Lines>
  <Paragraphs>13</Paragraphs>
  <TotalTime>0</TotalTime>
  <ScaleCrop>false</ScaleCrop>
  <LinksUpToDate>false</LinksUpToDate>
  <CharactersWithSpaces>6566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2019-01-30T08:27:00Z</dcterms:created>
  <dc:creator>Yilan</dc:creator>
  <cp:lastModifiedBy>Yuchan</cp:lastModifiedBy>
  <dcterms:modified xsi:type="dcterms:W3CDTF">2025-06-13T12:14:26Z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eyJoZGlkIjoiNzJlMjhjYzE1NGM4NTk3MDg0MGI3MDUxYWJmZTBkNjMifQ==</vt:lpwstr>
  </property>
  <property fmtid="{D5CDD505-2E9C-101B-9397-08002B2CF9AE}" pid="3" name="KSOProductBuildVer">
    <vt:lpwstr>2052-12.1.0.21541</vt:lpwstr>
  </property>
  <property fmtid="{D5CDD505-2E9C-101B-9397-08002B2CF9AE}" pid="4" name="ICV">
    <vt:lpwstr>B3522B9CD7F04780948AEEF962D2D4B6_12</vt:lpwstr>
  </property>
</Properties>
</file>