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5E07" w:rsidRDefault="000F08D0">
      <w:pPr>
        <w:spacing w:afterLines="100" w:after="312" w:line="259" w:lineRule="auto"/>
        <w:jc w:val="center"/>
        <w:rPr>
          <w:rFonts w:ascii="Times New Roman" w:hAnsi="Times New Roman" w:cs="Times New Roman"/>
          <w:b/>
          <w:sz w:val="30"/>
          <w:szCs w:val="30"/>
        </w:rPr>
      </w:pPr>
      <w:r>
        <w:rPr>
          <w:rFonts w:ascii="Times New Roman" w:hAnsi="Times New Roman" w:cs="Times New Roman" w:hint="eastAsia"/>
          <w:b/>
          <w:sz w:val="30"/>
          <w:szCs w:val="30"/>
        </w:rPr>
        <w:t>I</w:t>
      </w:r>
      <w:r>
        <w:rPr>
          <w:rFonts w:ascii="Times New Roman" w:hAnsi="Times New Roman" w:cs="Times New Roman"/>
          <w:b/>
          <w:sz w:val="30"/>
          <w:szCs w:val="30"/>
        </w:rPr>
        <w:t>nternational Journal of Sediment Research</w:t>
      </w:r>
    </w:p>
    <w:p w:rsidR="00CD5E07" w:rsidRDefault="00090095">
      <w:pPr>
        <w:spacing w:afterLines="100" w:after="312" w:line="259" w:lineRule="auto"/>
        <w:jc w:val="center"/>
        <w:rPr>
          <w:rFonts w:ascii="Times New Roman" w:hAnsi="Times New Roman" w:cs="Times New Roman"/>
          <w:b/>
          <w:vanish/>
          <w:sz w:val="30"/>
          <w:szCs w:val="30"/>
        </w:rPr>
      </w:pPr>
      <w:r>
        <w:rPr>
          <w:rFonts w:ascii="Times New Roman" w:hAnsi="Times New Roman" w:cs="Times New Roman" w:hint="eastAsia"/>
          <w:b/>
          <w:sz w:val="30"/>
          <w:szCs w:val="30"/>
        </w:rPr>
        <w:t>Manuscript Format</w:t>
      </w:r>
    </w:p>
    <w:p w:rsidR="00CD5E07" w:rsidRDefault="00090095">
      <w:pPr>
        <w:pStyle w:val="a7"/>
        <w:numPr>
          <w:ilvl w:val="0"/>
          <w:numId w:val="1"/>
        </w:numPr>
        <w:spacing w:after="120" w:line="259" w:lineRule="auto"/>
        <w:ind w:firstLineChars="0"/>
        <w:rPr>
          <w:rFonts w:ascii="Times New Roman" w:hAnsi="Times New Roman" w:cs="Times New Roman"/>
          <w:b/>
          <w:sz w:val="28"/>
        </w:rPr>
      </w:pPr>
      <w:r>
        <w:rPr>
          <w:rFonts w:ascii="Times New Roman" w:eastAsia="宋体" w:hAnsi="Times New Roman" w:cs="Times New Roman"/>
          <w:b/>
          <w:sz w:val="28"/>
        </w:rPr>
        <w:t xml:space="preserve"> Title Page</w:t>
      </w:r>
    </w:p>
    <w:p w:rsidR="00CD5E07" w:rsidRPr="00175369" w:rsidRDefault="00090095">
      <w:pPr>
        <w:pStyle w:val="a7"/>
        <w:widowControl/>
        <w:numPr>
          <w:ilvl w:val="0"/>
          <w:numId w:val="2"/>
        </w:numPr>
        <w:spacing w:after="160" w:line="259" w:lineRule="auto"/>
        <w:ind w:firstLineChars="0"/>
        <w:jc w:val="left"/>
        <w:rPr>
          <w:rFonts w:ascii="Times New Roman" w:hAnsi="Times New Roman" w:cs="Times New Roman"/>
          <w:b/>
          <w:sz w:val="28"/>
          <w:szCs w:val="28"/>
        </w:rPr>
      </w:pPr>
      <w:r w:rsidRPr="00175369">
        <w:rPr>
          <w:rFonts w:ascii="Times New Roman" w:hAnsi="Times New Roman" w:cs="Times New Roman" w:hint="eastAsia"/>
          <w:b/>
          <w:sz w:val="28"/>
          <w:szCs w:val="28"/>
        </w:rPr>
        <w:t>Title</w:t>
      </w:r>
      <w:bookmarkStart w:id="0" w:name="_GoBack"/>
      <w:bookmarkEnd w:id="0"/>
    </w:p>
    <w:p w:rsidR="00CD5E07" w:rsidRDefault="00090095">
      <w:pPr>
        <w:spacing w:line="259" w:lineRule="auto"/>
        <w:ind w:firstLineChars="100" w:firstLine="240"/>
        <w:rPr>
          <w:rFonts w:ascii="Times New Roman" w:hAnsi="Times New Roman" w:cs="Times New Roman"/>
          <w:sz w:val="24"/>
        </w:rPr>
      </w:pPr>
      <w:r>
        <w:rPr>
          <w:rFonts w:ascii="Times New Roman" w:hAnsi="Times New Roman" w:cs="Times New Roman"/>
          <w:sz w:val="24"/>
        </w:rPr>
        <w:t>Only the first letter of the first word and proper nouns should be capitalized.</w:t>
      </w:r>
    </w:p>
    <w:p w:rsidR="00CD5E07" w:rsidRDefault="00090095">
      <w:pPr>
        <w:spacing w:after="160" w:line="259" w:lineRule="auto"/>
        <w:ind w:firstLineChars="100" w:firstLine="240"/>
        <w:rPr>
          <w:rFonts w:ascii="Times New Roman" w:hAnsi="Times New Roman" w:cs="Times New Roman"/>
          <w:sz w:val="24"/>
        </w:rPr>
      </w:pPr>
      <w:r>
        <w:rPr>
          <w:rFonts w:ascii="Times New Roman" w:hAnsi="Times New Roman" w:cs="Times New Roman"/>
          <w:sz w:val="24"/>
        </w:rPr>
        <w:t>For example, “</w:t>
      </w:r>
      <w:r>
        <w:rPr>
          <w:rFonts w:ascii="Times New Roman" w:hAnsi="Times New Roman" w:cs="Times New Roman"/>
          <w:color w:val="0070C0"/>
          <w:sz w:val="24"/>
        </w:rPr>
        <w:t>Phosphorus</w:t>
      </w:r>
      <w:r>
        <w:rPr>
          <w:rFonts w:ascii="Times New Roman" w:hAnsi="Times New Roman" w:cs="Times New Roman"/>
          <w:sz w:val="24"/>
        </w:rPr>
        <w:t xml:space="preserve"> forms and distribution in the </w:t>
      </w:r>
      <w:r>
        <w:rPr>
          <w:rFonts w:ascii="Times New Roman" w:hAnsi="Times New Roman" w:cs="Times New Roman"/>
          <w:color w:val="0070C0"/>
          <w:sz w:val="24"/>
        </w:rPr>
        <w:t>Zhejiang</w:t>
      </w:r>
      <w:r>
        <w:rPr>
          <w:rFonts w:ascii="Times New Roman" w:hAnsi="Times New Roman" w:cs="Times New Roman"/>
          <w:sz w:val="24"/>
        </w:rPr>
        <w:t xml:space="preserve"> coastal sediment in the </w:t>
      </w:r>
      <w:r>
        <w:rPr>
          <w:rFonts w:ascii="Times New Roman" w:hAnsi="Times New Roman" w:cs="Times New Roman"/>
          <w:color w:val="0070C0"/>
          <w:sz w:val="24"/>
        </w:rPr>
        <w:t>East China Sea</w:t>
      </w:r>
      <w:r>
        <w:rPr>
          <w:rFonts w:ascii="Times New Roman" w:hAnsi="Times New Roman" w:cs="Times New Roman"/>
          <w:sz w:val="24"/>
        </w:rPr>
        <w:t>”.</w:t>
      </w:r>
    </w:p>
    <w:p w:rsidR="00CD5E07" w:rsidRPr="00175369" w:rsidRDefault="00090095">
      <w:pPr>
        <w:pStyle w:val="a7"/>
        <w:widowControl/>
        <w:numPr>
          <w:ilvl w:val="0"/>
          <w:numId w:val="2"/>
        </w:numPr>
        <w:spacing w:after="160" w:line="259" w:lineRule="auto"/>
        <w:ind w:firstLineChars="0"/>
        <w:jc w:val="left"/>
        <w:rPr>
          <w:rFonts w:ascii="Times New Roman" w:hAnsi="Times New Roman" w:cs="Times New Roman"/>
          <w:b/>
          <w:sz w:val="28"/>
          <w:szCs w:val="28"/>
        </w:rPr>
      </w:pPr>
      <w:r w:rsidRPr="00175369">
        <w:rPr>
          <w:rFonts w:ascii="Times New Roman" w:hAnsi="Times New Roman" w:cs="Times New Roman"/>
          <w:b/>
          <w:sz w:val="28"/>
          <w:szCs w:val="28"/>
        </w:rPr>
        <w:t>Author names and affiliations</w:t>
      </w:r>
    </w:p>
    <w:p w:rsidR="00CD5E07" w:rsidRDefault="00090095">
      <w:pPr>
        <w:spacing w:line="259" w:lineRule="auto"/>
        <w:ind w:firstLineChars="100" w:firstLine="240"/>
        <w:rPr>
          <w:rFonts w:ascii="Times New Roman" w:hAnsi="Times New Roman" w:cs="Times New Roman"/>
          <w:sz w:val="24"/>
        </w:rPr>
      </w:pPr>
      <w:r>
        <w:rPr>
          <w:rFonts w:ascii="Times New Roman" w:hAnsi="Times New Roman" w:cs="Times New Roman"/>
          <w:sz w:val="24"/>
        </w:rPr>
        <w:t>Use</w:t>
      </w:r>
      <w:r>
        <w:rPr>
          <w:rFonts w:ascii="Times New Roman" w:hAnsi="Times New Roman" w:cs="Times New Roman"/>
          <w:sz w:val="24"/>
        </w:rPr>
        <w:t xml:space="preserve"> full names, but not initials, for all the authors’ names.</w:t>
      </w:r>
      <w:r>
        <w:rPr>
          <w:rFonts w:ascii="Times New Roman" w:hAnsi="Times New Roman" w:cs="Times New Roman" w:hint="eastAsia"/>
          <w:sz w:val="24"/>
        </w:rPr>
        <w:t xml:space="preserve"> The </w:t>
      </w:r>
      <w:r>
        <w:rPr>
          <w:rFonts w:ascii="Times New Roman" w:hAnsi="Times New Roman" w:cs="Times New Roman"/>
          <w:sz w:val="24"/>
        </w:rPr>
        <w:t>author’s given name should be written before surname, and only the first letter of surname or given name should be capitalized. The corresponding author must be clearly indicated with an asteri</w:t>
      </w:r>
      <w:r>
        <w:rPr>
          <w:rFonts w:ascii="Times New Roman" w:hAnsi="Times New Roman" w:cs="Times New Roman"/>
          <w:sz w:val="24"/>
        </w:rPr>
        <w:t xml:space="preserve">sk (*). </w:t>
      </w:r>
    </w:p>
    <w:p w:rsidR="00CD5E07" w:rsidRDefault="00090095">
      <w:pPr>
        <w:spacing w:line="259" w:lineRule="auto"/>
        <w:ind w:firstLineChars="100" w:firstLine="240"/>
        <w:rPr>
          <w:rFonts w:ascii="Times New Roman" w:hAnsi="Times New Roman" w:cs="Times New Roman"/>
          <w:sz w:val="24"/>
        </w:rPr>
      </w:pPr>
      <w:r>
        <w:rPr>
          <w:rFonts w:ascii="Times New Roman" w:hAnsi="Times New Roman" w:cs="Times New Roman"/>
          <w:sz w:val="24"/>
        </w:rPr>
        <w:t>For the affiliations, if the authors are from the same affiliation, then the same superscript (a, b, c…) should be marked on each author’s name.</w:t>
      </w:r>
    </w:p>
    <w:p w:rsidR="00CD5E07" w:rsidRDefault="00090095">
      <w:pPr>
        <w:spacing w:after="160" w:line="259" w:lineRule="auto"/>
        <w:ind w:firstLineChars="100" w:firstLine="240"/>
        <w:rPr>
          <w:rFonts w:ascii="Times New Roman" w:hAnsi="Times New Roman" w:cs="Times New Roman"/>
          <w:sz w:val="24"/>
        </w:rPr>
      </w:pPr>
      <w:r>
        <w:rPr>
          <w:rFonts w:ascii="Times New Roman" w:hAnsi="Times New Roman" w:cs="Times New Roman"/>
          <w:sz w:val="24"/>
        </w:rPr>
        <w:t>The standard format for author names and affiliations is shown below.</w:t>
      </w:r>
    </w:p>
    <w:p w:rsidR="00CD5E07" w:rsidRDefault="00090095">
      <w:pPr>
        <w:spacing w:after="120" w:line="259" w:lineRule="auto"/>
        <w:jc w:val="center"/>
        <w:rPr>
          <w:rFonts w:ascii="Times New Roman" w:hAnsi="Times New Roman" w:cs="Times New Roman"/>
          <w:sz w:val="24"/>
        </w:rPr>
      </w:pPr>
      <w:r>
        <w:rPr>
          <w:rFonts w:ascii="Times New Roman" w:hAnsi="Times New Roman" w:cs="Times New Roman"/>
          <w:noProof/>
          <w:sz w:val="24"/>
        </w:rPr>
        <w:drawing>
          <wp:inline distT="0" distB="0" distL="0" distR="0">
            <wp:extent cx="5297805" cy="60960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297805" cy="609600"/>
                    </a:xfrm>
                    <a:prstGeom prst="rect">
                      <a:avLst/>
                    </a:prstGeom>
                    <a:noFill/>
                  </pic:spPr>
                </pic:pic>
              </a:graphicData>
            </a:graphic>
          </wp:inline>
        </w:drawing>
      </w:r>
    </w:p>
    <w:p w:rsidR="00CD5E07" w:rsidRDefault="00090095">
      <w:pPr>
        <w:spacing w:after="120" w:line="259" w:lineRule="auto"/>
        <w:jc w:val="center"/>
        <w:rPr>
          <w:rFonts w:ascii="Times New Roman" w:hAnsi="Times New Roman" w:cs="Times New Roman"/>
          <w:sz w:val="24"/>
        </w:rPr>
      </w:pPr>
      <w:r>
        <w:rPr>
          <w:rFonts w:ascii="Times New Roman" w:hAnsi="Times New Roman" w:cs="Times New Roman"/>
          <w:noProof/>
          <w:sz w:val="24"/>
        </w:rPr>
        <w:drawing>
          <wp:inline distT="0" distB="0" distL="0" distR="0">
            <wp:extent cx="5297805" cy="4508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5297805" cy="450850"/>
                    </a:xfrm>
                    <a:prstGeom prst="rect">
                      <a:avLst/>
                    </a:prstGeom>
                    <a:noFill/>
                  </pic:spPr>
                </pic:pic>
              </a:graphicData>
            </a:graphic>
          </wp:inline>
        </w:drawing>
      </w:r>
    </w:p>
    <w:p w:rsidR="00CD5E07" w:rsidRDefault="00090095">
      <w:pPr>
        <w:pStyle w:val="a7"/>
        <w:numPr>
          <w:ilvl w:val="0"/>
          <w:numId w:val="1"/>
        </w:numPr>
        <w:spacing w:beforeLines="100" w:before="312" w:after="120" w:line="259" w:lineRule="auto"/>
        <w:ind w:firstLineChars="0"/>
        <w:rPr>
          <w:rFonts w:ascii="Times New Roman" w:hAnsi="Times New Roman" w:cs="Times New Roman"/>
          <w:b/>
          <w:sz w:val="28"/>
        </w:rPr>
      </w:pPr>
      <w:r>
        <w:rPr>
          <w:rFonts w:ascii="Times New Roman" w:hAnsi="Times New Roman" w:cs="Times New Roman"/>
          <w:b/>
          <w:sz w:val="28"/>
        </w:rPr>
        <w:t>Subsections</w:t>
      </w:r>
    </w:p>
    <w:p w:rsidR="00CD5E07" w:rsidRDefault="00090095">
      <w:pPr>
        <w:spacing w:line="259" w:lineRule="auto"/>
        <w:ind w:firstLineChars="100" w:firstLine="240"/>
        <w:rPr>
          <w:rFonts w:ascii="Times New Roman" w:hAnsi="Times New Roman" w:cs="Times New Roman"/>
          <w:sz w:val="24"/>
        </w:rPr>
      </w:pPr>
      <w:r>
        <w:rPr>
          <w:rFonts w:ascii="Times New Roman" w:hAnsi="Times New Roman" w:cs="Times New Roman"/>
          <w:sz w:val="24"/>
        </w:rPr>
        <w:t xml:space="preserve">Subsections </w:t>
      </w:r>
      <w:r>
        <w:rPr>
          <w:rFonts w:ascii="Times New Roman" w:hAnsi="Times New Roman" w:cs="Times New Roman"/>
          <w:sz w:val="24"/>
        </w:rPr>
        <w:t>should be consecutively numbered</w:t>
      </w:r>
      <w:r>
        <w:rPr>
          <w:rFonts w:ascii="Times New Roman" w:hAnsi="Times New Roman" w:cs="Times New Roman" w:hint="eastAsia"/>
          <w:sz w:val="24"/>
        </w:rPr>
        <w:t xml:space="preserve"> </w:t>
      </w:r>
      <w:r>
        <w:rPr>
          <w:rFonts w:ascii="Times New Roman" w:hAnsi="Times New Roman" w:cs="Times New Roman"/>
          <w:sz w:val="24"/>
        </w:rPr>
        <w:t>1. (then 1.1., 1.2., 1.3., ...), 2., 3., etc. But the abstract is not included in section numbering. In subsection titles, only the first letter of the first word and proper nouns should be capitalized.</w:t>
      </w:r>
    </w:p>
    <w:p w:rsidR="00CD5E07" w:rsidRDefault="00090095">
      <w:pPr>
        <w:spacing w:line="259" w:lineRule="auto"/>
        <w:ind w:firstLineChars="100" w:firstLine="240"/>
        <w:rPr>
          <w:rFonts w:ascii="Times New Roman" w:hAnsi="Times New Roman" w:cs="Times New Roman"/>
          <w:sz w:val="24"/>
        </w:rPr>
      </w:pPr>
      <w:r>
        <w:rPr>
          <w:rFonts w:ascii="Times New Roman" w:hAnsi="Times New Roman" w:cs="Times New Roman"/>
          <w:sz w:val="24"/>
        </w:rPr>
        <w:t>For example, “1. Int</w:t>
      </w:r>
      <w:r>
        <w:rPr>
          <w:rFonts w:ascii="Times New Roman" w:hAnsi="Times New Roman" w:cs="Times New Roman"/>
          <w:sz w:val="24"/>
        </w:rPr>
        <w:t>roduction 2. Material and methods 3. Results 4. Discussion     5. Conclusions” and “2.1. Data collection 2.2. Modeling with Saint-Venant equations”.</w:t>
      </w:r>
    </w:p>
    <w:p w:rsidR="00CD5E07" w:rsidRDefault="00090095">
      <w:pPr>
        <w:pStyle w:val="a7"/>
        <w:numPr>
          <w:ilvl w:val="0"/>
          <w:numId w:val="1"/>
        </w:numPr>
        <w:spacing w:beforeLines="100" w:before="312" w:after="120" w:line="259" w:lineRule="auto"/>
        <w:ind w:firstLineChars="0"/>
        <w:rPr>
          <w:rFonts w:ascii="Times New Roman" w:hAnsi="Times New Roman" w:cs="Times New Roman"/>
          <w:b/>
          <w:sz w:val="28"/>
        </w:rPr>
      </w:pPr>
      <w:r>
        <w:rPr>
          <w:rFonts w:ascii="Times New Roman" w:hAnsi="Times New Roman" w:cs="Times New Roman"/>
          <w:b/>
          <w:sz w:val="28"/>
        </w:rPr>
        <w:t>Text Formatting</w:t>
      </w:r>
    </w:p>
    <w:p w:rsidR="00CD5E07" w:rsidRDefault="00090095" w:rsidP="00BA33F3">
      <w:pPr>
        <w:pStyle w:val="a7"/>
        <w:numPr>
          <w:ilvl w:val="3"/>
          <w:numId w:val="2"/>
        </w:numPr>
        <w:spacing w:line="259" w:lineRule="auto"/>
        <w:ind w:left="420" w:firstLineChars="0"/>
        <w:rPr>
          <w:rFonts w:ascii="Times New Roman" w:hAnsi="Times New Roman" w:cs="Times New Roman"/>
          <w:sz w:val="24"/>
        </w:rPr>
      </w:pPr>
      <w:r w:rsidRPr="00BA33F3">
        <w:rPr>
          <w:rFonts w:ascii="Times New Roman" w:hAnsi="Times New Roman" w:cs="Times New Roman"/>
          <w:sz w:val="24"/>
        </w:rPr>
        <w:t xml:space="preserve">All text, including the abstract and reference list, should be prepared in </w:t>
      </w:r>
      <w:r w:rsidRPr="00BA33F3">
        <w:rPr>
          <w:rFonts w:ascii="Times New Roman" w:hAnsi="Times New Roman" w:cs="Times New Roman"/>
          <w:color w:val="0070C0"/>
          <w:sz w:val="24"/>
        </w:rPr>
        <w:t>single-column an</w:t>
      </w:r>
      <w:r w:rsidRPr="00BA33F3">
        <w:rPr>
          <w:rFonts w:ascii="Times New Roman" w:hAnsi="Times New Roman" w:cs="Times New Roman"/>
          <w:color w:val="0070C0"/>
          <w:sz w:val="24"/>
        </w:rPr>
        <w:t>d double-spaced</w:t>
      </w:r>
      <w:r w:rsidRPr="00BA33F3">
        <w:rPr>
          <w:rFonts w:ascii="Times New Roman" w:hAnsi="Times New Roman" w:cs="Times New Roman" w:hint="eastAsia"/>
          <w:sz w:val="24"/>
        </w:rPr>
        <w:t xml:space="preserve"> </w:t>
      </w:r>
      <w:r w:rsidRPr="00BA33F3">
        <w:rPr>
          <w:rFonts w:ascii="Times New Roman" w:hAnsi="Times New Roman" w:cs="Times New Roman"/>
          <w:sz w:val="24"/>
        </w:rPr>
        <w:t xml:space="preserve">format. Manuscripts are recommended to be submitted </w:t>
      </w:r>
      <w:r w:rsidRPr="00BA33F3">
        <w:rPr>
          <w:rFonts w:ascii="Times New Roman" w:hAnsi="Times New Roman" w:cs="Times New Roman"/>
          <w:sz w:val="24"/>
        </w:rPr>
        <w:lastRenderedPageBreak/>
        <w:t xml:space="preserve">in Microsoft Word. Use a normal, plain font (e.g., 12-point Times Roman) for text, and add </w:t>
      </w:r>
      <w:r w:rsidRPr="00BA33F3">
        <w:rPr>
          <w:rFonts w:ascii="Times New Roman" w:hAnsi="Times New Roman" w:cs="Times New Roman"/>
          <w:color w:val="0070C0"/>
          <w:sz w:val="24"/>
        </w:rPr>
        <w:t>line numbers</w:t>
      </w:r>
      <w:r w:rsidRPr="00BA33F3">
        <w:rPr>
          <w:rFonts w:ascii="Times New Roman" w:hAnsi="Times New Roman" w:cs="Times New Roman"/>
          <w:sz w:val="24"/>
        </w:rPr>
        <w:t xml:space="preserve"> on the left side.</w:t>
      </w:r>
    </w:p>
    <w:p w:rsidR="00BA33F3" w:rsidRPr="000E5395" w:rsidRDefault="00BA33F3" w:rsidP="00BA33F3">
      <w:pPr>
        <w:pStyle w:val="a7"/>
        <w:numPr>
          <w:ilvl w:val="3"/>
          <w:numId w:val="2"/>
        </w:numPr>
        <w:spacing w:line="259" w:lineRule="auto"/>
        <w:ind w:left="420" w:firstLineChars="0"/>
        <w:rPr>
          <w:rFonts w:ascii="Times New Roman" w:hAnsi="Times New Roman" w:cs="Times New Roman"/>
          <w:color w:val="0070C0"/>
          <w:sz w:val="24"/>
        </w:rPr>
      </w:pPr>
      <w:r w:rsidRPr="000E5395">
        <w:rPr>
          <w:rFonts w:ascii="Times New Roman" w:hAnsi="Times New Roman" w:cs="Times New Roman"/>
          <w:color w:val="0070C0"/>
          <w:sz w:val="24"/>
        </w:rPr>
        <w:t>There must be a space between units and values with the exception of: degree (only as angle), arc minute and arc second signs [°, ´ (U+2032) and ´´ (U+2033)], which are closed up. Note: °C, %, and ‰ are to be used with a space, in accordance with SI policy.</w:t>
      </w:r>
    </w:p>
    <w:p w:rsidR="00CD5E07" w:rsidRPr="00BA33F3" w:rsidRDefault="00090095" w:rsidP="00BA33F3">
      <w:pPr>
        <w:pStyle w:val="a7"/>
        <w:numPr>
          <w:ilvl w:val="0"/>
          <w:numId w:val="2"/>
        </w:numPr>
        <w:spacing w:line="259" w:lineRule="auto"/>
        <w:ind w:firstLineChars="0"/>
        <w:rPr>
          <w:rFonts w:ascii="Times New Roman" w:hAnsi="Times New Roman" w:cs="Times New Roman"/>
          <w:sz w:val="24"/>
        </w:rPr>
      </w:pPr>
      <w:r w:rsidRPr="00BA33F3">
        <w:rPr>
          <w:rFonts w:ascii="Times New Roman" w:hAnsi="Times New Roman" w:cs="Times New Roman"/>
          <w:sz w:val="24"/>
        </w:rPr>
        <w:t>The maximum number of words and word-equivalents (including figure</w:t>
      </w:r>
      <w:r w:rsidRPr="00BA33F3">
        <w:rPr>
          <w:rFonts w:ascii="Times New Roman" w:hAnsi="Times New Roman" w:cs="Times New Roman"/>
          <w:sz w:val="24"/>
        </w:rPr>
        <w:t xml:space="preserve">s and tables) is </w:t>
      </w:r>
      <w:r w:rsidRPr="00BA33F3">
        <w:rPr>
          <w:rFonts w:ascii="Times New Roman" w:hAnsi="Times New Roman" w:cs="Times New Roman"/>
          <w:color w:val="0070C0"/>
          <w:sz w:val="24"/>
        </w:rPr>
        <w:t>10,000 for technical</w:t>
      </w:r>
      <w:r w:rsidRPr="00BA33F3">
        <w:rPr>
          <w:rFonts w:ascii="Times New Roman" w:hAnsi="Times New Roman" w:cs="Times New Roman" w:hint="eastAsia"/>
          <w:color w:val="0070C0"/>
          <w:sz w:val="24"/>
        </w:rPr>
        <w:t xml:space="preserve"> </w:t>
      </w:r>
      <w:r w:rsidRPr="00BA33F3">
        <w:rPr>
          <w:rFonts w:ascii="Times New Roman" w:hAnsi="Times New Roman" w:cs="Times New Roman"/>
          <w:color w:val="0070C0"/>
          <w:sz w:val="24"/>
        </w:rPr>
        <w:t>papers, and 3,000 for technical notes</w:t>
      </w:r>
      <w:r w:rsidRPr="00BA33F3">
        <w:rPr>
          <w:rFonts w:ascii="Times New Roman" w:hAnsi="Times New Roman" w:cs="Times New Roman"/>
          <w:sz w:val="24"/>
        </w:rPr>
        <w:t>. Please note that each figure or table is regarded as 160 word-equivalents.</w:t>
      </w:r>
    </w:p>
    <w:p w:rsidR="00CD5E07" w:rsidRDefault="00090095">
      <w:pPr>
        <w:pStyle w:val="a7"/>
        <w:numPr>
          <w:ilvl w:val="0"/>
          <w:numId w:val="1"/>
        </w:numPr>
        <w:spacing w:beforeLines="100" w:before="312" w:after="120" w:line="259" w:lineRule="auto"/>
        <w:ind w:firstLineChars="0"/>
        <w:rPr>
          <w:rFonts w:ascii="Times New Roman" w:hAnsi="Times New Roman" w:cs="Times New Roman"/>
          <w:b/>
          <w:sz w:val="28"/>
        </w:rPr>
      </w:pPr>
      <w:r>
        <w:rPr>
          <w:rFonts w:ascii="Times New Roman" w:hAnsi="Times New Roman" w:cs="Times New Roman" w:hint="eastAsia"/>
          <w:b/>
          <w:sz w:val="28"/>
        </w:rPr>
        <w:t>F</w:t>
      </w:r>
      <w:r>
        <w:rPr>
          <w:rFonts w:ascii="Times New Roman" w:hAnsi="Times New Roman" w:cs="Times New Roman" w:hint="eastAsia"/>
          <w:b/>
          <w:sz w:val="28"/>
        </w:rPr>
        <w:t>igures</w:t>
      </w:r>
    </w:p>
    <w:p w:rsidR="00CD5E07" w:rsidRDefault="00090095">
      <w:pPr>
        <w:pStyle w:val="a7"/>
        <w:widowControl/>
        <w:numPr>
          <w:ilvl w:val="0"/>
          <w:numId w:val="3"/>
        </w:numPr>
        <w:spacing w:after="160" w:line="259" w:lineRule="auto"/>
        <w:ind w:firstLineChars="0"/>
        <w:jc w:val="left"/>
        <w:rPr>
          <w:rFonts w:ascii="Times New Roman" w:hAnsi="Times New Roman" w:cs="Times New Roman"/>
          <w:color w:val="0070C0"/>
          <w:sz w:val="24"/>
          <w:szCs w:val="24"/>
        </w:rPr>
      </w:pPr>
      <w:r>
        <w:rPr>
          <w:rFonts w:ascii="Times New Roman" w:hAnsi="Times New Roman" w:cs="Times New Roman"/>
          <w:sz w:val="24"/>
          <w:szCs w:val="24"/>
        </w:rPr>
        <w:t xml:space="preserve">Original figures should be in high quality with the resolution of 600dpi and saved as </w:t>
      </w:r>
      <w:r>
        <w:rPr>
          <w:rFonts w:ascii="Times New Roman" w:hAnsi="Times New Roman" w:cs="Times New Roman"/>
          <w:sz w:val="24"/>
          <w:szCs w:val="24"/>
        </w:rPr>
        <w:t>filename.tif or filename.jpg. The figures may also be made by Microsoft excel.</w:t>
      </w:r>
    </w:p>
    <w:p w:rsidR="00CD5E07" w:rsidRDefault="00090095">
      <w:pPr>
        <w:pStyle w:val="a7"/>
        <w:widowControl/>
        <w:numPr>
          <w:ilvl w:val="0"/>
          <w:numId w:val="3"/>
        </w:numPr>
        <w:spacing w:after="160" w:line="259" w:lineRule="auto"/>
        <w:ind w:firstLineChars="0"/>
        <w:jc w:val="left"/>
        <w:rPr>
          <w:rFonts w:ascii="Times New Roman" w:hAnsi="Times New Roman" w:cs="Times New Roman"/>
          <w:sz w:val="24"/>
          <w:szCs w:val="24"/>
        </w:rPr>
      </w:pPr>
      <w:r>
        <w:rPr>
          <w:rFonts w:ascii="Times New Roman" w:hAnsi="Times New Roman" w:cs="Times New Roman"/>
          <w:sz w:val="24"/>
          <w:szCs w:val="24"/>
        </w:rPr>
        <w:t xml:space="preserve">Figures should be in the proper size, </w:t>
      </w:r>
      <w:r>
        <w:rPr>
          <w:rFonts w:ascii="Times New Roman" w:hAnsi="Times New Roman" w:cs="Times New Roman"/>
          <w:color w:val="0070C0"/>
          <w:sz w:val="24"/>
          <w:szCs w:val="24"/>
        </w:rPr>
        <w:t>less than 8 cm or 16 cm in width</w:t>
      </w:r>
      <w:r>
        <w:rPr>
          <w:rFonts w:ascii="Times New Roman" w:hAnsi="Times New Roman" w:cs="Times New Roman"/>
          <w:sz w:val="24"/>
          <w:szCs w:val="24"/>
        </w:rPr>
        <w:t>, and less than 24 cm in height. When making a figure, please set the size first, then write down words, nu</w:t>
      </w:r>
      <w:r>
        <w:rPr>
          <w:rFonts w:ascii="Times New Roman" w:hAnsi="Times New Roman" w:cs="Times New Roman"/>
          <w:sz w:val="24"/>
          <w:szCs w:val="24"/>
        </w:rPr>
        <w:t>mbers, symbols, etc.</w:t>
      </w:r>
    </w:p>
    <w:p w:rsidR="00CD5E07" w:rsidRDefault="00090095">
      <w:pPr>
        <w:pStyle w:val="a7"/>
        <w:widowControl/>
        <w:numPr>
          <w:ilvl w:val="0"/>
          <w:numId w:val="3"/>
        </w:numPr>
        <w:spacing w:after="160" w:line="259" w:lineRule="auto"/>
        <w:ind w:firstLineChars="0"/>
        <w:jc w:val="left"/>
        <w:rPr>
          <w:rFonts w:ascii="Times New Roman" w:hAnsi="Times New Roman" w:cs="Times New Roman"/>
          <w:color w:val="0070C0"/>
          <w:sz w:val="24"/>
          <w:szCs w:val="24"/>
        </w:rPr>
      </w:pPr>
      <w:r>
        <w:rPr>
          <w:rFonts w:ascii="Times New Roman" w:hAnsi="Times New Roman" w:cs="Times New Roman"/>
          <w:sz w:val="24"/>
          <w:szCs w:val="24"/>
        </w:rPr>
        <w:t>Use a normal, uniform font (Times New Roman, 9 points, no bold) for all the words and numbers in figures. Physical quantity symbols need to be in italics, and noun phrases, units, and numbers need to be in non-italic font.</w:t>
      </w:r>
    </w:p>
    <w:p w:rsidR="00CD5E07" w:rsidRDefault="00090095">
      <w:pPr>
        <w:pStyle w:val="a7"/>
        <w:widowControl/>
        <w:numPr>
          <w:ilvl w:val="0"/>
          <w:numId w:val="3"/>
        </w:numPr>
        <w:spacing w:after="160" w:line="259" w:lineRule="auto"/>
        <w:ind w:firstLineChars="0"/>
        <w:jc w:val="left"/>
        <w:rPr>
          <w:rFonts w:ascii="Times New Roman" w:hAnsi="Times New Roman" w:cs="Times New Roman"/>
          <w:color w:val="0070C0"/>
          <w:sz w:val="24"/>
          <w:szCs w:val="24"/>
        </w:rPr>
      </w:pPr>
      <w:r>
        <w:rPr>
          <w:rFonts w:ascii="Times New Roman" w:hAnsi="Times New Roman" w:cs="Times New Roman"/>
          <w:color w:val="0070C0"/>
          <w:sz w:val="24"/>
          <w:szCs w:val="24"/>
        </w:rPr>
        <w:t>Only the fir</w:t>
      </w:r>
      <w:r>
        <w:rPr>
          <w:rFonts w:ascii="Times New Roman" w:hAnsi="Times New Roman" w:cs="Times New Roman"/>
          <w:color w:val="0070C0"/>
          <w:sz w:val="24"/>
          <w:szCs w:val="24"/>
        </w:rPr>
        <w:t>st letter of the first word should be capitalized, except proper nouns.</w:t>
      </w:r>
    </w:p>
    <w:p w:rsidR="00CD5E07" w:rsidRDefault="00090095">
      <w:pPr>
        <w:pStyle w:val="a7"/>
        <w:widowControl/>
        <w:numPr>
          <w:ilvl w:val="0"/>
          <w:numId w:val="3"/>
        </w:numPr>
        <w:spacing w:after="160" w:line="259" w:lineRule="auto"/>
        <w:ind w:firstLineChars="0"/>
        <w:jc w:val="left"/>
        <w:rPr>
          <w:rFonts w:ascii="Times New Roman" w:hAnsi="Times New Roman" w:cs="Times New Roman"/>
          <w:sz w:val="24"/>
          <w:szCs w:val="24"/>
        </w:rPr>
      </w:pPr>
      <w:r>
        <w:rPr>
          <w:rFonts w:ascii="Times New Roman" w:hAnsi="Times New Roman" w:cs="Times New Roman"/>
          <w:sz w:val="24"/>
          <w:szCs w:val="24"/>
        </w:rPr>
        <w:t>Lines in the figure should be clear and in black with medium line thickness.</w:t>
      </w:r>
    </w:p>
    <w:p w:rsidR="00D56C5D" w:rsidRPr="006F1C4E" w:rsidRDefault="00D56C5D" w:rsidP="00D56C5D">
      <w:pPr>
        <w:pStyle w:val="a7"/>
        <w:widowControl/>
        <w:numPr>
          <w:ilvl w:val="0"/>
          <w:numId w:val="3"/>
        </w:numPr>
        <w:spacing w:after="160" w:line="259" w:lineRule="auto"/>
        <w:ind w:firstLineChars="0"/>
        <w:jc w:val="left"/>
        <w:rPr>
          <w:rFonts w:ascii="Times New Roman" w:hAnsi="Times New Roman" w:cs="Times New Roman" w:hint="eastAsia"/>
          <w:color w:val="0070C0"/>
          <w:sz w:val="24"/>
          <w:szCs w:val="24"/>
        </w:rPr>
      </w:pPr>
      <w:r w:rsidRPr="006F1C4E">
        <w:rPr>
          <w:rFonts w:ascii="Times New Roman" w:hAnsi="Times New Roman" w:cs="Times New Roman"/>
          <w:color w:val="0070C0"/>
          <w:sz w:val="24"/>
          <w:szCs w:val="24"/>
        </w:rPr>
        <w:t>A ‘thousands separator’, in the form of a fixed horizontal space or comma (follow the author's usage) must be used for numbers greater than 9999. Delete thousands separators and commas used for numbers below 10,000 (e.g. 1,500 must be 1500).</w:t>
      </w:r>
    </w:p>
    <w:p w:rsidR="00CD5E07" w:rsidRDefault="00090095">
      <w:pPr>
        <w:pStyle w:val="a7"/>
        <w:widowControl/>
        <w:numPr>
          <w:ilvl w:val="0"/>
          <w:numId w:val="3"/>
        </w:numPr>
        <w:spacing w:after="160" w:line="259" w:lineRule="auto"/>
        <w:ind w:firstLineChars="0"/>
        <w:jc w:val="left"/>
        <w:rPr>
          <w:rFonts w:ascii="Times New Roman" w:hAnsi="Times New Roman" w:cs="Times New Roman"/>
          <w:sz w:val="24"/>
          <w:szCs w:val="24"/>
        </w:rPr>
      </w:pPr>
      <w:r>
        <w:rPr>
          <w:rFonts w:ascii="Times New Roman" w:hAnsi="Times New Roman" w:cs="Times New Roman" w:hint="eastAsia"/>
          <w:sz w:val="24"/>
          <w:szCs w:val="24"/>
        </w:rPr>
        <w:t>T</w:t>
      </w:r>
      <w:r>
        <w:rPr>
          <w:rFonts w:ascii="Times New Roman" w:hAnsi="Times New Roman" w:cs="Times New Roman" w:hint="eastAsia"/>
          <w:sz w:val="24"/>
          <w:szCs w:val="24"/>
        </w:rPr>
        <w:t xml:space="preserve">he unit in axis titles should be enclosed </w:t>
      </w:r>
      <w:r>
        <w:rPr>
          <w:rFonts w:ascii="Times New Roman" w:hAnsi="Times New Roman" w:cs="Times New Roman"/>
          <w:sz w:val="24"/>
          <w:szCs w:val="24"/>
        </w:rPr>
        <w:t>in parentheses, for example, “Flow discharge (m</w:t>
      </w:r>
      <w:r>
        <w:rPr>
          <w:rFonts w:ascii="Times New Roman" w:hAnsi="Times New Roman" w:cs="Times New Roman"/>
          <w:sz w:val="24"/>
          <w:szCs w:val="24"/>
          <w:vertAlign w:val="superscript"/>
        </w:rPr>
        <w:t>3</w:t>
      </w:r>
      <w:r>
        <w:rPr>
          <w:rFonts w:ascii="Times New Roman" w:hAnsi="Times New Roman" w:cs="Times New Roman"/>
          <w:sz w:val="24"/>
          <w:szCs w:val="24"/>
        </w:rPr>
        <w:t>/s)”.</w:t>
      </w:r>
    </w:p>
    <w:p w:rsidR="00CD5E07" w:rsidRDefault="00090095">
      <w:pPr>
        <w:pStyle w:val="a7"/>
        <w:widowControl/>
        <w:numPr>
          <w:ilvl w:val="0"/>
          <w:numId w:val="3"/>
        </w:numPr>
        <w:spacing w:after="160" w:line="259" w:lineRule="auto"/>
        <w:ind w:firstLineChars="0"/>
        <w:jc w:val="left"/>
        <w:rPr>
          <w:rFonts w:ascii="Times New Roman" w:hAnsi="Times New Roman" w:cs="Times New Roman"/>
          <w:sz w:val="24"/>
          <w:szCs w:val="24"/>
        </w:rPr>
      </w:pPr>
      <w:r>
        <w:rPr>
          <w:rFonts w:ascii="Times New Roman" w:hAnsi="Times New Roman" w:cs="Times New Roman"/>
          <w:sz w:val="24"/>
          <w:szCs w:val="24"/>
        </w:rPr>
        <w:t>Rotate the y-axis title by 90 degrees counterclockwise, as shown below.</w:t>
      </w:r>
    </w:p>
    <w:p w:rsidR="00CD5E07" w:rsidRDefault="00090095">
      <w:pPr>
        <w:widowControl/>
        <w:spacing w:after="120" w:line="259" w:lineRule="auto"/>
        <w:jc w:val="center"/>
        <w:rPr>
          <w:rFonts w:ascii="Times New Roman" w:hAnsi="Times New Roman" w:cs="Times New Roman"/>
          <w:sz w:val="24"/>
          <w:szCs w:val="24"/>
        </w:rPr>
      </w:pPr>
      <w:r>
        <w:rPr>
          <w:noProof/>
        </w:rPr>
        <w:lastRenderedPageBreak/>
        <w:drawing>
          <wp:inline distT="0" distB="0" distL="0" distR="0">
            <wp:extent cx="3148965" cy="2083435"/>
            <wp:effectExtent l="0" t="0" r="0" b="0"/>
            <wp:docPr id="1" name="图片 1" descr="C:\Users\IBM\Desktop\2016年以前遗留的老文章\国内\37 D-13-00179（中）\(已改)Fig2-Fig10\Fig.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IBM\Desktop\2016年以前遗留的老文章\国内\37 D-13-00179（中）\(已改)Fig2-Fig10\Fig.6.jpg"/>
                    <pic:cNvPicPr>
                      <a:picLocks noChangeAspect="1" noChangeArrowheads="1"/>
                    </pic:cNvPicPr>
                  </pic:nvPicPr>
                  <pic:blipFill>
                    <a:blip r:embed="rId9"/>
                    <a:srcRect/>
                    <a:stretch>
                      <a:fillRect/>
                    </a:stretch>
                  </pic:blipFill>
                  <pic:spPr>
                    <a:xfrm>
                      <a:off x="0" y="0"/>
                      <a:ext cx="3159747" cy="2090536"/>
                    </a:xfrm>
                    <a:prstGeom prst="rect">
                      <a:avLst/>
                    </a:prstGeom>
                    <a:noFill/>
                    <a:ln w="9525">
                      <a:noFill/>
                      <a:miter lim="800000"/>
                      <a:headEnd/>
                      <a:tailEnd/>
                    </a:ln>
                  </pic:spPr>
                </pic:pic>
              </a:graphicData>
            </a:graphic>
          </wp:inline>
        </w:drawing>
      </w:r>
    </w:p>
    <w:p w:rsidR="00CD5E07" w:rsidRDefault="00090095">
      <w:pPr>
        <w:pStyle w:val="a7"/>
        <w:widowControl/>
        <w:numPr>
          <w:ilvl w:val="0"/>
          <w:numId w:val="3"/>
        </w:numPr>
        <w:spacing w:after="160" w:line="259" w:lineRule="auto"/>
        <w:ind w:firstLineChars="0"/>
        <w:jc w:val="left"/>
        <w:rPr>
          <w:rFonts w:ascii="Times New Roman" w:hAnsi="Times New Roman" w:cs="Times New Roman"/>
          <w:sz w:val="24"/>
          <w:szCs w:val="24"/>
        </w:rPr>
      </w:pPr>
      <w:r>
        <w:rPr>
          <w:rFonts w:ascii="Times New Roman" w:hAnsi="Times New Roman" w:cs="Times New Roman"/>
          <w:sz w:val="24"/>
          <w:szCs w:val="24"/>
        </w:rPr>
        <w:t>The background of figures should be deleted.</w:t>
      </w:r>
    </w:p>
    <w:p w:rsidR="00CD5E07" w:rsidRDefault="00090095">
      <w:pPr>
        <w:pStyle w:val="a7"/>
        <w:widowControl/>
        <w:numPr>
          <w:ilvl w:val="0"/>
          <w:numId w:val="3"/>
        </w:numPr>
        <w:spacing w:after="160" w:line="259" w:lineRule="auto"/>
        <w:ind w:firstLineChars="0"/>
        <w:jc w:val="left"/>
        <w:rPr>
          <w:rFonts w:ascii="Times New Roman" w:hAnsi="Times New Roman" w:cs="Times New Roman"/>
          <w:sz w:val="24"/>
          <w:szCs w:val="24"/>
        </w:rPr>
      </w:pPr>
      <w:r>
        <w:rPr>
          <w:rFonts w:ascii="Times New Roman" w:hAnsi="Times New Roman" w:cs="Times New Roman" w:hint="eastAsia"/>
          <w:sz w:val="24"/>
          <w:szCs w:val="24"/>
        </w:rPr>
        <w:t xml:space="preserve">If there are 2 subfigures in one figure, </w:t>
      </w:r>
      <w:r>
        <w:rPr>
          <w:rFonts w:ascii="Times New Roman" w:hAnsi="Times New Roman" w:cs="Times New Roman"/>
          <w:sz w:val="24"/>
          <w:szCs w:val="24"/>
        </w:rPr>
        <w:t>it’s suggested to place one on the left side, and the other on the right side. The width of each subfigure should be less than 8 cm. If there are 4 subfigures (</w:t>
      </w:r>
      <w:r>
        <w:rPr>
          <w:rFonts w:ascii="Times New Roman" w:hAnsi="Times New Roman" w:cs="Times New Roman" w:hint="eastAsia"/>
          <w:sz w:val="24"/>
          <w:szCs w:val="24"/>
        </w:rPr>
        <w:t xml:space="preserve">abcd), </w:t>
      </w:r>
      <w:r>
        <w:rPr>
          <w:rFonts w:ascii="Times New Roman" w:hAnsi="Times New Roman" w:cs="Times New Roman"/>
          <w:sz w:val="24"/>
          <w:szCs w:val="24"/>
        </w:rPr>
        <w:t>then it’s suggested to place subfigure a on the</w:t>
      </w:r>
      <w:r>
        <w:rPr>
          <w:rFonts w:ascii="Times New Roman" w:hAnsi="Times New Roman" w:cs="Times New Roman"/>
          <w:sz w:val="24"/>
          <w:szCs w:val="24"/>
        </w:rPr>
        <w:t xml:space="preserve"> top left side, b on the top right side, c on the bottom left side, and d on the bottom right side.</w:t>
      </w:r>
    </w:p>
    <w:p w:rsidR="008A586E" w:rsidRDefault="008A586E">
      <w:pPr>
        <w:pStyle w:val="a7"/>
        <w:widowControl/>
        <w:numPr>
          <w:ilvl w:val="0"/>
          <w:numId w:val="3"/>
        </w:numPr>
        <w:spacing w:after="160" w:line="259" w:lineRule="auto"/>
        <w:ind w:firstLineChars="0"/>
        <w:jc w:val="left"/>
        <w:rPr>
          <w:rFonts w:ascii="Times New Roman" w:hAnsi="Times New Roman" w:cs="Times New Roman"/>
          <w:sz w:val="24"/>
          <w:szCs w:val="24"/>
        </w:rPr>
      </w:pPr>
      <w:r>
        <w:rPr>
          <w:rFonts w:ascii="Times New Roman" w:hAnsi="Times New Roman" w:cs="Times New Roman"/>
          <w:sz w:val="24"/>
          <w:szCs w:val="24"/>
        </w:rPr>
        <w:t>If there are subfigures in one figure, (a)</w:t>
      </w:r>
      <w:r w:rsidR="00770673">
        <w:rPr>
          <w:rFonts w:ascii="Times New Roman" w:hAnsi="Times New Roman" w:cs="Times New Roman"/>
          <w:sz w:val="24"/>
          <w:szCs w:val="24"/>
        </w:rPr>
        <w:t xml:space="preserve">, </w:t>
      </w:r>
      <w:r>
        <w:rPr>
          <w:rFonts w:ascii="Times New Roman" w:hAnsi="Times New Roman" w:cs="Times New Roman"/>
          <w:sz w:val="24"/>
          <w:szCs w:val="24"/>
        </w:rPr>
        <w:t>(b)</w:t>
      </w:r>
      <w:r w:rsidR="00770673">
        <w:rPr>
          <w:rFonts w:ascii="Times New Roman" w:hAnsi="Times New Roman" w:cs="Times New Roman"/>
          <w:sz w:val="24"/>
          <w:szCs w:val="24"/>
        </w:rPr>
        <w:t xml:space="preserve">, </w:t>
      </w:r>
      <w:r>
        <w:rPr>
          <w:rFonts w:ascii="Times New Roman" w:hAnsi="Times New Roman" w:cs="Times New Roman"/>
          <w:sz w:val="24"/>
          <w:szCs w:val="24"/>
        </w:rPr>
        <w:t xml:space="preserve">(c)… in lowercase with </w:t>
      </w:r>
      <w:r>
        <w:rPr>
          <w:rFonts w:ascii="Times New Roman" w:hAnsi="Times New Roman" w:cs="Times New Roman"/>
          <w:sz w:val="24"/>
          <w:szCs w:val="24"/>
        </w:rPr>
        <w:t>parentheses</w:t>
      </w:r>
      <w:r>
        <w:rPr>
          <w:rFonts w:ascii="Times New Roman" w:hAnsi="Times New Roman" w:cs="Times New Roman"/>
          <w:sz w:val="24"/>
          <w:szCs w:val="24"/>
        </w:rPr>
        <w:t xml:space="preserve"> should be used for notation</w:t>
      </w:r>
      <w:r w:rsidR="00770673">
        <w:rPr>
          <w:rFonts w:ascii="Times New Roman" w:hAnsi="Times New Roman" w:cs="Times New Roman"/>
          <w:sz w:val="24"/>
          <w:szCs w:val="24"/>
        </w:rPr>
        <w:t xml:space="preserve"> both in figures and captions</w:t>
      </w:r>
      <w:r>
        <w:rPr>
          <w:rFonts w:ascii="Times New Roman" w:hAnsi="Times New Roman" w:cs="Times New Roman"/>
          <w:sz w:val="24"/>
          <w:szCs w:val="24"/>
        </w:rPr>
        <w:t>.</w:t>
      </w:r>
    </w:p>
    <w:p w:rsidR="00CD5E07" w:rsidRDefault="00090095">
      <w:pPr>
        <w:pStyle w:val="a7"/>
        <w:numPr>
          <w:ilvl w:val="0"/>
          <w:numId w:val="1"/>
        </w:numPr>
        <w:spacing w:beforeLines="100" w:before="312" w:after="120" w:line="259" w:lineRule="auto"/>
        <w:ind w:firstLineChars="0"/>
        <w:rPr>
          <w:rFonts w:ascii="Times New Roman" w:hAnsi="Times New Roman" w:cs="Times New Roman"/>
          <w:b/>
          <w:sz w:val="28"/>
        </w:rPr>
      </w:pPr>
      <w:r>
        <w:rPr>
          <w:rFonts w:ascii="Times New Roman" w:hAnsi="Times New Roman" w:cs="Times New Roman" w:hint="eastAsia"/>
          <w:b/>
          <w:sz w:val="28"/>
        </w:rPr>
        <w:t>Tables</w:t>
      </w:r>
    </w:p>
    <w:p w:rsidR="00CD5E07" w:rsidRDefault="00090095">
      <w:pPr>
        <w:pStyle w:val="a7"/>
        <w:widowControl/>
        <w:numPr>
          <w:ilvl w:val="0"/>
          <w:numId w:val="4"/>
        </w:numPr>
        <w:spacing w:after="160" w:line="259" w:lineRule="auto"/>
        <w:ind w:firstLineChars="0"/>
        <w:jc w:val="left"/>
        <w:rPr>
          <w:rFonts w:ascii="Times New Roman" w:hAnsi="Times New Roman" w:cs="Times New Roman"/>
          <w:color w:val="0070C0"/>
          <w:sz w:val="24"/>
          <w:szCs w:val="24"/>
        </w:rPr>
      </w:pPr>
      <w:r>
        <w:rPr>
          <w:rFonts w:ascii="Times New Roman" w:hAnsi="Times New Roman" w:cs="Times New Roman"/>
          <w:sz w:val="24"/>
          <w:szCs w:val="24"/>
        </w:rPr>
        <w:t>Use a normal, uniform font ( Times New Roman, 9 points, no bold) for all the words and numbers in tables. Physical quantity symbols need to be in ita</w:t>
      </w:r>
      <w:r>
        <w:rPr>
          <w:rFonts w:ascii="Times New Roman" w:hAnsi="Times New Roman" w:cs="Times New Roman"/>
          <w:sz w:val="24"/>
          <w:szCs w:val="24"/>
        </w:rPr>
        <w:t>lics, and noun phrases, units, and numbers need to be in non-italic font.</w:t>
      </w:r>
    </w:p>
    <w:p w:rsidR="006F1C4E" w:rsidRDefault="00090095" w:rsidP="006F1C4E">
      <w:pPr>
        <w:pStyle w:val="a7"/>
        <w:widowControl/>
        <w:numPr>
          <w:ilvl w:val="0"/>
          <w:numId w:val="4"/>
        </w:numPr>
        <w:spacing w:after="160" w:line="259" w:lineRule="auto"/>
        <w:ind w:firstLineChars="0"/>
        <w:jc w:val="left"/>
        <w:rPr>
          <w:rFonts w:ascii="Times New Roman" w:hAnsi="Times New Roman" w:cs="Times New Roman"/>
          <w:color w:val="0070C0"/>
          <w:sz w:val="24"/>
          <w:szCs w:val="24"/>
        </w:rPr>
      </w:pPr>
      <w:r>
        <w:rPr>
          <w:rFonts w:ascii="Times New Roman" w:hAnsi="Times New Roman" w:cs="Times New Roman"/>
          <w:color w:val="0070C0"/>
          <w:sz w:val="24"/>
          <w:szCs w:val="24"/>
        </w:rPr>
        <w:t>Only the first letter of the first word in line one should be capitalized, except proper nouns.</w:t>
      </w:r>
    </w:p>
    <w:p w:rsidR="00CD5E07" w:rsidRPr="006F1C4E" w:rsidRDefault="008A586E" w:rsidP="006F1C4E">
      <w:pPr>
        <w:pStyle w:val="a7"/>
        <w:widowControl/>
        <w:numPr>
          <w:ilvl w:val="0"/>
          <w:numId w:val="4"/>
        </w:numPr>
        <w:spacing w:after="160" w:line="259" w:lineRule="auto"/>
        <w:ind w:firstLineChars="0"/>
        <w:jc w:val="left"/>
        <w:rPr>
          <w:rFonts w:ascii="Times New Roman" w:hAnsi="Times New Roman" w:cs="Times New Roman"/>
          <w:color w:val="0070C0"/>
          <w:sz w:val="24"/>
          <w:szCs w:val="24"/>
        </w:rPr>
      </w:pPr>
      <w:r w:rsidRPr="006F1C4E">
        <w:rPr>
          <w:rFonts w:ascii="Times New Roman" w:hAnsi="Times New Roman" w:cs="Times New Roman"/>
          <w:color w:val="0070C0"/>
          <w:sz w:val="24"/>
          <w:szCs w:val="24"/>
        </w:rPr>
        <w:t>A ‘thousands separator’, in the form of a fixed horizontal space or comma (follow the author's usage) must be used for numbers greater than 9999. Delete thousands separators and commas used for numbers below 10,000 (e.g. 1,500 must be 1500).</w:t>
      </w:r>
    </w:p>
    <w:p w:rsidR="00CD5E07" w:rsidRDefault="00090095">
      <w:pPr>
        <w:pStyle w:val="a7"/>
        <w:numPr>
          <w:ilvl w:val="0"/>
          <w:numId w:val="1"/>
        </w:numPr>
        <w:spacing w:beforeLines="100" w:before="312" w:after="120" w:line="259" w:lineRule="auto"/>
        <w:ind w:firstLineChars="0"/>
        <w:rPr>
          <w:rFonts w:ascii="Times New Roman" w:hAnsi="Times New Roman" w:cs="Times New Roman"/>
          <w:b/>
          <w:sz w:val="28"/>
        </w:rPr>
      </w:pPr>
      <w:r>
        <w:rPr>
          <w:rFonts w:ascii="Times New Roman" w:hAnsi="Times New Roman" w:cs="Times New Roman"/>
          <w:b/>
          <w:sz w:val="28"/>
        </w:rPr>
        <w:t>C</w:t>
      </w:r>
      <w:r>
        <w:rPr>
          <w:rFonts w:ascii="Times New Roman" w:hAnsi="Times New Roman" w:cs="Times New Roman"/>
          <w:b/>
          <w:sz w:val="28"/>
        </w:rPr>
        <w:t>itations and References</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International Journal of Sediment Research (IJSR) use the following formats for the text citation and reference list.</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Please note that they are a bit </w:t>
      </w:r>
      <w:r>
        <w:rPr>
          <w:rFonts w:ascii="Times New Roman" w:eastAsia="宋体" w:hAnsi="Times New Roman" w:cs="Times New Roman"/>
          <w:color w:val="FF0000"/>
          <w:kern w:val="0"/>
          <w:sz w:val="24"/>
          <w:szCs w:val="24"/>
        </w:rPr>
        <w:t xml:space="preserve">different from the </w:t>
      </w:r>
      <w:r>
        <w:rPr>
          <w:rFonts w:ascii="Times New Roman" w:eastAsia="宋体" w:hAnsi="Times New Roman" w:cs="Times New Roman"/>
          <w:color w:val="FF0000"/>
          <w:kern w:val="0"/>
          <w:sz w:val="24"/>
          <w:szCs w:val="24"/>
        </w:rPr>
        <w:t>standard APA 6</w:t>
      </w:r>
      <w:r>
        <w:rPr>
          <w:rFonts w:ascii="Times New Roman" w:eastAsia="宋体" w:hAnsi="Times New Roman" w:cs="Times New Roman"/>
          <w:color w:val="FF0000"/>
          <w:kern w:val="0"/>
          <w:sz w:val="24"/>
          <w:szCs w:val="24"/>
          <w:vertAlign w:val="superscript"/>
        </w:rPr>
        <w:t>th</w:t>
      </w:r>
      <w:r>
        <w:rPr>
          <w:rFonts w:ascii="Times New Roman" w:eastAsia="宋体" w:hAnsi="Times New Roman" w:cs="Times New Roman"/>
          <w:kern w:val="0"/>
          <w:sz w:val="24"/>
          <w:szCs w:val="24"/>
        </w:rPr>
        <w:t>.</w:t>
      </w:r>
    </w:p>
    <w:p w:rsidR="00CD5E07" w:rsidRDefault="00090095">
      <w:pPr>
        <w:widowControl/>
        <w:spacing w:after="120" w:line="259" w:lineRule="auto"/>
        <w:jc w:val="left"/>
        <w:rPr>
          <w:rFonts w:ascii="Times New Roman" w:eastAsia="宋体" w:hAnsi="Times New Roman" w:cs="Times New Roman"/>
          <w:b/>
          <w:kern w:val="0"/>
          <w:sz w:val="28"/>
          <w:szCs w:val="24"/>
        </w:rPr>
      </w:pPr>
      <w:r>
        <w:rPr>
          <w:rFonts w:ascii="Times New Roman" w:eastAsia="宋体" w:hAnsi="Times New Roman" w:cs="Times New Roman"/>
          <w:b/>
          <w:kern w:val="0"/>
          <w:sz w:val="28"/>
          <w:szCs w:val="24"/>
        </w:rPr>
        <w:t>Citations in Text</w:t>
      </w:r>
    </w:p>
    <w:p w:rsidR="00CD5E07" w:rsidRDefault="00090095">
      <w:pPr>
        <w:widowControl/>
        <w:numPr>
          <w:ilvl w:val="0"/>
          <w:numId w:val="5"/>
        </w:numPr>
        <w:spacing w:after="160" w:line="259" w:lineRule="auto"/>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lastRenderedPageBreak/>
        <w:t>One Author</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Smith (2002) found…</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(Smith, 2002)</w:t>
      </w:r>
    </w:p>
    <w:p w:rsidR="00CD5E07" w:rsidRDefault="00090095">
      <w:pPr>
        <w:widowControl/>
        <w:numPr>
          <w:ilvl w:val="0"/>
          <w:numId w:val="5"/>
        </w:numPr>
        <w:spacing w:after="160" w:line="259" w:lineRule="auto"/>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Two Authors</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Smith and Jones (2003) found…</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(Smith &amp; Jones, 2003)</w:t>
      </w:r>
    </w:p>
    <w:p w:rsidR="00CD5E07" w:rsidRDefault="00090095">
      <w:pPr>
        <w:widowControl/>
        <w:numPr>
          <w:ilvl w:val="0"/>
          <w:numId w:val="5"/>
        </w:numPr>
        <w:spacing w:after="160" w:line="259" w:lineRule="auto"/>
        <w:jc w:val="left"/>
        <w:rPr>
          <w:rFonts w:ascii="Times New Roman" w:eastAsia="宋体" w:hAnsi="Times New Roman" w:cs="Times New Roman"/>
          <w:b/>
          <w:color w:val="FF0000"/>
          <w:kern w:val="0"/>
          <w:sz w:val="24"/>
          <w:szCs w:val="24"/>
        </w:rPr>
      </w:pPr>
      <w:r>
        <w:rPr>
          <w:rFonts w:ascii="Times New Roman" w:eastAsia="宋体" w:hAnsi="Times New Roman" w:cs="Times New Roman"/>
          <w:b/>
          <w:color w:val="FF0000"/>
          <w:kern w:val="0"/>
          <w:sz w:val="24"/>
          <w:szCs w:val="24"/>
        </w:rPr>
        <w:t>Three or More Authors</w:t>
      </w:r>
    </w:p>
    <w:p w:rsidR="00CD5E07" w:rsidRDefault="00090095">
      <w:pPr>
        <w:widowControl/>
        <w:spacing w:after="160" w:line="259" w:lineRule="auto"/>
        <w:jc w:val="left"/>
        <w:rPr>
          <w:rFonts w:ascii="Times New Roman" w:eastAsia="宋体" w:hAnsi="Times New Roman" w:cs="Times New Roman"/>
          <w:color w:val="FF0000"/>
          <w:kern w:val="0"/>
          <w:sz w:val="24"/>
          <w:szCs w:val="24"/>
        </w:rPr>
      </w:pPr>
      <w:r>
        <w:rPr>
          <w:rFonts w:ascii="Times New Roman" w:eastAsia="宋体" w:hAnsi="Times New Roman" w:cs="Times New Roman"/>
          <w:color w:val="FF0000"/>
          <w:kern w:val="0"/>
          <w:sz w:val="24"/>
          <w:szCs w:val="24"/>
        </w:rPr>
        <w:t>- Smith et al. (2002) found…</w:t>
      </w:r>
    </w:p>
    <w:p w:rsidR="00CD5E07" w:rsidRDefault="00090095">
      <w:pPr>
        <w:widowControl/>
        <w:spacing w:after="160" w:line="259" w:lineRule="auto"/>
        <w:jc w:val="left"/>
        <w:rPr>
          <w:rFonts w:ascii="Times New Roman" w:eastAsia="宋体" w:hAnsi="Times New Roman" w:cs="Times New Roman"/>
          <w:color w:val="FF0000"/>
          <w:kern w:val="0"/>
          <w:sz w:val="24"/>
          <w:szCs w:val="24"/>
        </w:rPr>
      </w:pPr>
      <w:r>
        <w:rPr>
          <w:rFonts w:ascii="Times New Roman" w:eastAsia="宋体" w:hAnsi="Times New Roman" w:cs="Times New Roman"/>
          <w:color w:val="FF0000"/>
          <w:kern w:val="0"/>
          <w:sz w:val="24"/>
          <w:szCs w:val="24"/>
        </w:rPr>
        <w:t>- (Phelps et al., 2004)</w:t>
      </w:r>
    </w:p>
    <w:p w:rsidR="00CD5E07" w:rsidRDefault="00090095">
      <w:pPr>
        <w:widowControl/>
        <w:numPr>
          <w:ilvl w:val="0"/>
          <w:numId w:val="5"/>
        </w:numPr>
        <w:spacing w:after="160" w:line="259" w:lineRule="auto"/>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Groups as Authors:</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- 1</w:t>
      </w:r>
      <w:r>
        <w:rPr>
          <w:rFonts w:ascii="Times New Roman" w:eastAsia="宋体" w:hAnsi="Times New Roman" w:cs="Times New Roman"/>
          <w:kern w:val="0"/>
          <w:sz w:val="24"/>
          <w:szCs w:val="24"/>
          <w:vertAlign w:val="superscript"/>
        </w:rPr>
        <w:t>st</w:t>
      </w:r>
      <w:r>
        <w:rPr>
          <w:rFonts w:ascii="Times New Roman" w:eastAsia="宋体" w:hAnsi="Times New Roman" w:cs="Times New Roman"/>
          <w:kern w:val="0"/>
          <w:sz w:val="24"/>
          <w:szCs w:val="24"/>
        </w:rPr>
        <w:t xml:space="preserve"> Citation:</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(American Psychological Association [APA], 2000)</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Subsequent Citations:</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(APA, 2000)</w:t>
      </w:r>
    </w:p>
    <w:p w:rsidR="00CD5E07" w:rsidRDefault="00090095">
      <w:pPr>
        <w:widowControl/>
        <w:numPr>
          <w:ilvl w:val="0"/>
          <w:numId w:val="5"/>
        </w:numPr>
        <w:spacing w:after="160" w:line="259" w:lineRule="auto"/>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Anonymous or No Author</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Use first few words of reference list entry (usually title):</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(“Study Finds,” 1995)</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(TEA, 2007)</w:t>
      </w:r>
    </w:p>
    <w:p w:rsidR="00CD5E07" w:rsidRDefault="00090095">
      <w:pPr>
        <w:widowControl/>
        <w:numPr>
          <w:ilvl w:val="0"/>
          <w:numId w:val="5"/>
        </w:numPr>
        <w:spacing w:after="160" w:line="259" w:lineRule="auto"/>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Authors with Same Surname</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Include ini</w:t>
      </w:r>
      <w:r>
        <w:rPr>
          <w:rFonts w:ascii="Times New Roman" w:eastAsia="宋体" w:hAnsi="Times New Roman" w:cs="Times New Roman"/>
          <w:kern w:val="0"/>
          <w:sz w:val="24"/>
          <w:szCs w:val="24"/>
        </w:rPr>
        <w:t>tials: S. T. Smith (2000) and J. D. Smith (1999)</w:t>
      </w:r>
    </w:p>
    <w:p w:rsidR="00CD5E07" w:rsidRDefault="00090095">
      <w:pPr>
        <w:widowControl/>
        <w:numPr>
          <w:ilvl w:val="0"/>
          <w:numId w:val="5"/>
        </w:numPr>
        <w:spacing w:after="160" w:line="259" w:lineRule="auto"/>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Two or more works within the same parentheses</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color w:val="FF0000"/>
          <w:kern w:val="0"/>
          <w:sz w:val="24"/>
          <w:szCs w:val="24"/>
        </w:rPr>
        <w:t>- In order alphabetically, as they would appear in references, separated by semi-colons</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(Jones, 2010; Thomas, 2003)</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If by same author, then by date</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(Jones, 200</w:t>
      </w:r>
      <w:r>
        <w:rPr>
          <w:rFonts w:ascii="Times New Roman" w:eastAsia="宋体" w:hAnsi="Times New Roman" w:cs="Times New Roman"/>
          <w:kern w:val="0"/>
          <w:sz w:val="24"/>
          <w:szCs w:val="24"/>
        </w:rPr>
        <w:t>3, 2007)</w:t>
      </w:r>
    </w:p>
    <w:p w:rsidR="00CD5E07" w:rsidRDefault="00CD5E07">
      <w:pPr>
        <w:widowControl/>
        <w:spacing w:after="160" w:line="259" w:lineRule="auto"/>
        <w:jc w:val="left"/>
        <w:rPr>
          <w:rFonts w:ascii="Times New Roman" w:eastAsia="宋体" w:hAnsi="Times New Roman" w:cs="Times New Roman"/>
          <w:b/>
          <w:kern w:val="0"/>
          <w:sz w:val="24"/>
          <w:szCs w:val="24"/>
        </w:rPr>
      </w:pPr>
    </w:p>
    <w:p w:rsidR="00CD5E07" w:rsidRDefault="00090095">
      <w:pPr>
        <w:widowControl/>
        <w:spacing w:after="120" w:line="259" w:lineRule="auto"/>
        <w:jc w:val="left"/>
        <w:rPr>
          <w:rFonts w:ascii="Times New Roman" w:eastAsia="宋体" w:hAnsi="Times New Roman" w:cs="Times New Roman"/>
          <w:b/>
          <w:kern w:val="0"/>
          <w:sz w:val="28"/>
          <w:szCs w:val="24"/>
        </w:rPr>
      </w:pPr>
      <w:r>
        <w:rPr>
          <w:rFonts w:ascii="Times New Roman" w:eastAsia="宋体" w:hAnsi="Times New Roman" w:cs="Times New Roman"/>
          <w:b/>
          <w:kern w:val="0"/>
          <w:sz w:val="28"/>
          <w:szCs w:val="24"/>
        </w:rPr>
        <w:t>Reference List</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 xml:space="preserve">The reference list is titled References and they are: double spaced, </w:t>
      </w:r>
      <w:r>
        <w:rPr>
          <w:rFonts w:ascii="Times New Roman" w:eastAsia="宋体" w:hAnsi="Times New Roman" w:cs="Times New Roman"/>
          <w:color w:val="FF0000"/>
          <w:kern w:val="0"/>
          <w:sz w:val="24"/>
          <w:szCs w:val="24"/>
        </w:rPr>
        <w:t>in alphabetical order</w:t>
      </w:r>
      <w:r>
        <w:rPr>
          <w:rFonts w:ascii="Times New Roman" w:eastAsia="宋体" w:hAnsi="Times New Roman" w:cs="Times New Roman"/>
          <w:kern w:val="0"/>
          <w:sz w:val="24"/>
          <w:szCs w:val="24"/>
        </w:rPr>
        <w:t>, and formatted with a “hanging indention”.</w:t>
      </w:r>
    </w:p>
    <w:p w:rsidR="00CD5E07" w:rsidRDefault="00090095">
      <w:pPr>
        <w:widowControl/>
        <w:numPr>
          <w:ilvl w:val="0"/>
          <w:numId w:val="6"/>
        </w:numPr>
        <w:spacing w:after="160" w:line="259" w:lineRule="auto"/>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Journal Article</w:t>
      </w:r>
    </w:p>
    <w:p w:rsidR="00CD5E07" w:rsidRDefault="00090095">
      <w:pPr>
        <w:widowControl/>
        <w:spacing w:after="160" w:line="259" w:lineRule="auto"/>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Accessed in print</w:t>
      </w:r>
    </w:p>
    <w:p w:rsidR="00CD5E07" w:rsidRDefault="00090095">
      <w:pPr>
        <w:widowControl/>
        <w:spacing w:after="160" w:line="259" w:lineRule="auto"/>
        <w:jc w:val="left"/>
        <w:rPr>
          <w:rFonts w:ascii="Times New Roman" w:eastAsia="宋体" w:hAnsi="Times New Roman" w:cs="Times New Roman"/>
          <w:color w:val="FF0000"/>
          <w:kern w:val="0"/>
          <w:sz w:val="24"/>
          <w:szCs w:val="24"/>
        </w:rPr>
      </w:pPr>
      <w:r>
        <w:rPr>
          <w:rFonts w:ascii="Times New Roman" w:eastAsia="宋体" w:hAnsi="Times New Roman" w:cs="Times New Roman"/>
          <w:color w:val="FF0000"/>
          <w:kern w:val="0"/>
          <w:sz w:val="24"/>
          <w:szCs w:val="24"/>
        </w:rPr>
        <w:t>All authors should be listed.</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Carlson, L. A. (2003). Existential theory: Helping school counselors attend to youth at risk for violence. </w:t>
      </w:r>
      <w:r>
        <w:rPr>
          <w:rFonts w:ascii="Times New Roman" w:eastAsia="宋体" w:hAnsi="Times New Roman" w:cs="Times New Roman"/>
          <w:i/>
          <w:iCs/>
          <w:kern w:val="0"/>
          <w:sz w:val="24"/>
          <w:szCs w:val="24"/>
        </w:rPr>
        <w:t>Professional School Counseling, 6</w:t>
      </w:r>
      <w:r>
        <w:rPr>
          <w:rFonts w:ascii="Times New Roman" w:eastAsia="宋体" w:hAnsi="Times New Roman" w:cs="Times New Roman"/>
          <w:kern w:val="0"/>
          <w:sz w:val="24"/>
          <w:szCs w:val="24"/>
        </w:rPr>
        <w:t>(5), 10-15.</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Sagarin, B. J., &amp; Lawler-Sagarin, K. A. (2005). Critically evaluating competing theories: An exercise ba</w:t>
      </w:r>
      <w:r>
        <w:rPr>
          <w:rFonts w:ascii="Times New Roman" w:eastAsia="宋体" w:hAnsi="Times New Roman" w:cs="Times New Roman"/>
          <w:kern w:val="0"/>
          <w:sz w:val="24"/>
          <w:szCs w:val="24"/>
        </w:rPr>
        <w:t>sed on the Kitty Genovese murder. </w:t>
      </w:r>
      <w:r>
        <w:rPr>
          <w:rFonts w:ascii="Times New Roman" w:eastAsia="宋体" w:hAnsi="Times New Roman" w:cs="Times New Roman"/>
          <w:i/>
          <w:iCs/>
          <w:kern w:val="0"/>
          <w:sz w:val="24"/>
          <w:szCs w:val="24"/>
        </w:rPr>
        <w:t>Teaching of Psychology, 32</w:t>
      </w:r>
      <w:r>
        <w:rPr>
          <w:rFonts w:ascii="Times New Roman" w:eastAsia="宋体" w:hAnsi="Times New Roman" w:cs="Times New Roman"/>
          <w:kern w:val="0"/>
          <w:sz w:val="24"/>
          <w:szCs w:val="24"/>
        </w:rPr>
        <w:t>(3), 167-169. </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Hughes, J. C., Brestan, E. V., &amp; Valle, L. A. (2004). Problem-solving interactions between mothers and children. </w:t>
      </w:r>
      <w:r>
        <w:rPr>
          <w:rFonts w:ascii="Times New Roman" w:eastAsia="宋体" w:hAnsi="Times New Roman" w:cs="Times New Roman"/>
          <w:i/>
          <w:iCs/>
          <w:kern w:val="0"/>
          <w:sz w:val="24"/>
          <w:szCs w:val="24"/>
        </w:rPr>
        <w:t>Child and Family Behavior Therapy, 26</w:t>
      </w:r>
      <w:r>
        <w:rPr>
          <w:rFonts w:ascii="Times New Roman" w:eastAsia="宋体" w:hAnsi="Times New Roman" w:cs="Times New Roman"/>
          <w:kern w:val="0"/>
          <w:sz w:val="24"/>
          <w:szCs w:val="24"/>
        </w:rPr>
        <w:t>(1), 1-16.</w:t>
      </w:r>
    </w:p>
    <w:p w:rsidR="00CD5E07" w:rsidRDefault="00CD5E07">
      <w:pPr>
        <w:widowControl/>
        <w:spacing w:after="160" w:line="259" w:lineRule="auto"/>
        <w:jc w:val="left"/>
        <w:rPr>
          <w:rFonts w:ascii="Times New Roman" w:eastAsia="宋体" w:hAnsi="Times New Roman" w:cs="Times New Roman"/>
          <w:kern w:val="0"/>
          <w:sz w:val="24"/>
          <w:szCs w:val="24"/>
        </w:rPr>
      </w:pPr>
    </w:p>
    <w:p w:rsidR="00CD5E07" w:rsidRDefault="00090095">
      <w:pPr>
        <w:widowControl/>
        <w:spacing w:after="160" w:line="259" w:lineRule="auto"/>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Accessed electronic</w:t>
      </w:r>
      <w:r>
        <w:rPr>
          <w:rFonts w:ascii="Times New Roman" w:eastAsia="宋体" w:hAnsi="Times New Roman" w:cs="Times New Roman"/>
          <w:b/>
          <w:kern w:val="0"/>
          <w:sz w:val="24"/>
          <w:szCs w:val="24"/>
        </w:rPr>
        <w:t>ally with DOI</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Herbst-Damm, K.L., &amp; Kulik, J.A. (2005). Volunteer support, marital status, and the survival times of terminally ill patients. </w:t>
      </w:r>
      <w:r>
        <w:rPr>
          <w:rFonts w:ascii="Times New Roman" w:eastAsia="宋体" w:hAnsi="Times New Roman" w:cs="Times New Roman"/>
          <w:i/>
          <w:iCs/>
          <w:kern w:val="0"/>
          <w:sz w:val="24"/>
          <w:szCs w:val="24"/>
        </w:rPr>
        <w:t>Health Psychology, 24</w:t>
      </w:r>
      <w:r>
        <w:rPr>
          <w:rFonts w:ascii="Times New Roman" w:eastAsia="宋体" w:hAnsi="Times New Roman" w:cs="Times New Roman"/>
          <w:kern w:val="0"/>
          <w:sz w:val="24"/>
          <w:szCs w:val="24"/>
        </w:rPr>
        <w:t>, 225-229. doi: 10.1037/0278-6133.24.2.225</w:t>
      </w:r>
    </w:p>
    <w:p w:rsidR="00CD5E07" w:rsidRDefault="00CD5E07">
      <w:pPr>
        <w:widowControl/>
        <w:spacing w:after="160" w:line="259" w:lineRule="auto"/>
        <w:jc w:val="left"/>
        <w:rPr>
          <w:rFonts w:ascii="Times New Roman" w:eastAsia="宋体" w:hAnsi="Times New Roman" w:cs="Times New Roman"/>
          <w:kern w:val="0"/>
          <w:sz w:val="24"/>
          <w:szCs w:val="24"/>
        </w:rPr>
      </w:pPr>
    </w:p>
    <w:p w:rsidR="00CD5E07" w:rsidRDefault="00090095">
      <w:pPr>
        <w:widowControl/>
        <w:spacing w:after="160" w:line="259" w:lineRule="auto"/>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Accessed electronically without DOI</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Give URL: Retr</w:t>
      </w:r>
      <w:r>
        <w:rPr>
          <w:rFonts w:ascii="Times New Roman" w:eastAsia="宋体" w:hAnsi="Times New Roman" w:cs="Times New Roman"/>
          <w:kern w:val="0"/>
          <w:sz w:val="24"/>
          <w:szCs w:val="24"/>
        </w:rPr>
        <w:t>ieved from http://www.xx (prefer the journal website and not the link directly through the database, for access reasons)</w:t>
      </w:r>
    </w:p>
    <w:p w:rsidR="00CD5E07" w:rsidRDefault="00090095">
      <w:pPr>
        <w:widowControl/>
        <w:spacing w:after="160" w:line="259" w:lineRule="auto"/>
        <w:jc w:val="left"/>
        <w:rPr>
          <w:rFonts w:ascii="Times New Roman" w:eastAsia="宋体" w:hAnsi="Times New Roman" w:cs="Times New Roman"/>
          <w:color w:val="0563C1"/>
          <w:kern w:val="0"/>
          <w:sz w:val="24"/>
          <w:szCs w:val="24"/>
          <w:u w:val="single"/>
        </w:rPr>
      </w:pPr>
      <w:r>
        <w:rPr>
          <w:rFonts w:ascii="Times New Roman" w:eastAsia="宋体" w:hAnsi="Times New Roman" w:cs="Times New Roman"/>
          <w:kern w:val="0"/>
          <w:sz w:val="24"/>
          <w:szCs w:val="24"/>
          <w:lang w:val="de-DE"/>
        </w:rPr>
        <w:t xml:space="preserve">Silick, T.J., &amp; Schutte, N.S. (2006). </w:t>
      </w:r>
      <w:r>
        <w:rPr>
          <w:rFonts w:ascii="Times New Roman" w:eastAsia="宋体" w:hAnsi="Times New Roman" w:cs="Times New Roman"/>
          <w:kern w:val="0"/>
          <w:sz w:val="24"/>
          <w:szCs w:val="24"/>
        </w:rPr>
        <w:t xml:space="preserve">Emotional intelligence and self-esteem mediate between perceived early parental love and adult happiness. </w:t>
      </w:r>
      <w:r>
        <w:rPr>
          <w:rFonts w:ascii="Times New Roman" w:eastAsia="宋体" w:hAnsi="Times New Roman" w:cs="Times New Roman"/>
          <w:i/>
          <w:iCs/>
          <w:kern w:val="0"/>
          <w:sz w:val="24"/>
          <w:szCs w:val="24"/>
        </w:rPr>
        <w:t>E-Journal of Applied Psychology, 2(2</w:t>
      </w:r>
      <w:r>
        <w:rPr>
          <w:rFonts w:ascii="Times New Roman" w:eastAsia="宋体" w:hAnsi="Times New Roman" w:cs="Times New Roman"/>
          <w:kern w:val="0"/>
          <w:sz w:val="24"/>
          <w:szCs w:val="24"/>
        </w:rPr>
        <w:t xml:space="preserve">), 38-48. Retrieved from </w:t>
      </w:r>
      <w:hyperlink r:id="rId10" w:history="1">
        <w:r>
          <w:rPr>
            <w:rFonts w:ascii="Times New Roman" w:eastAsia="宋体" w:hAnsi="Times New Roman" w:cs="Times New Roman"/>
            <w:color w:val="0563C1"/>
            <w:kern w:val="0"/>
            <w:sz w:val="24"/>
            <w:szCs w:val="24"/>
            <w:u w:val="single"/>
          </w:rPr>
          <w:t>http://ojs.lib.swin.edu.au/index.p</w:t>
        </w:r>
        <w:r>
          <w:rPr>
            <w:rFonts w:ascii="Times New Roman" w:eastAsia="宋体" w:hAnsi="Times New Roman" w:cs="Times New Roman"/>
            <w:color w:val="0563C1"/>
            <w:kern w:val="0"/>
            <w:sz w:val="24"/>
            <w:szCs w:val="24"/>
            <w:u w:val="single"/>
          </w:rPr>
          <w:t>hp/ejap</w:t>
        </w:r>
      </w:hyperlink>
    </w:p>
    <w:p w:rsidR="00CD5E07" w:rsidRDefault="00CD5E07">
      <w:pPr>
        <w:widowControl/>
        <w:spacing w:after="160" w:line="259" w:lineRule="auto"/>
        <w:jc w:val="left"/>
        <w:rPr>
          <w:rFonts w:ascii="Times New Roman" w:eastAsia="宋体" w:hAnsi="Times New Roman" w:cs="Times New Roman"/>
          <w:kern w:val="0"/>
          <w:sz w:val="24"/>
          <w:szCs w:val="24"/>
        </w:rPr>
      </w:pPr>
    </w:p>
    <w:p w:rsidR="00CD5E07" w:rsidRDefault="00090095">
      <w:pPr>
        <w:widowControl/>
        <w:numPr>
          <w:ilvl w:val="0"/>
          <w:numId w:val="6"/>
        </w:numPr>
        <w:spacing w:after="160" w:line="259" w:lineRule="auto"/>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Books</w:t>
      </w:r>
    </w:p>
    <w:p w:rsidR="00CD5E07" w:rsidRDefault="00090095">
      <w:pPr>
        <w:widowControl/>
        <w:spacing w:after="160" w:line="259" w:lineRule="auto"/>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Entire Book:</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Beck, C. A. J., &amp; Sales, B. D. (2001). </w:t>
      </w:r>
      <w:r>
        <w:rPr>
          <w:rFonts w:ascii="Times New Roman" w:eastAsia="宋体" w:hAnsi="Times New Roman" w:cs="Times New Roman"/>
          <w:i/>
          <w:iCs/>
          <w:kern w:val="0"/>
          <w:sz w:val="24"/>
          <w:szCs w:val="24"/>
        </w:rPr>
        <w:t xml:space="preserve">Family mediation: Facts, myths, and future prospects. </w:t>
      </w:r>
      <w:r>
        <w:rPr>
          <w:rFonts w:ascii="Times New Roman" w:eastAsia="宋体" w:hAnsi="Times New Roman" w:cs="Times New Roman"/>
          <w:kern w:val="0"/>
          <w:sz w:val="24"/>
          <w:szCs w:val="24"/>
        </w:rPr>
        <w:t>Washington, DC: American Psychological Association.</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For electronic versions use</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doi if provided and no publishing location or</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Re</w:t>
      </w:r>
      <w:r>
        <w:rPr>
          <w:rFonts w:ascii="Times New Roman" w:eastAsia="宋体" w:hAnsi="Times New Roman" w:cs="Times New Roman"/>
          <w:kern w:val="0"/>
          <w:sz w:val="24"/>
          <w:szCs w:val="24"/>
        </w:rPr>
        <w:t>trieved from http://www.websitename.org</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 No retrieval date necessary</w:t>
      </w:r>
    </w:p>
    <w:p w:rsidR="00CD5E07" w:rsidRDefault="00090095">
      <w:pPr>
        <w:widowControl/>
        <w:spacing w:after="160" w:line="259" w:lineRule="auto"/>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Chapter in an edited book:</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Johnson, R. A. (1989). Retrieval inhibition as an adaptive mechanism in human memory. In H. L. Roediger III &amp; F. I. M. Craik (Eds.), </w:t>
      </w:r>
      <w:r>
        <w:rPr>
          <w:rFonts w:ascii="Times New Roman" w:eastAsia="宋体" w:hAnsi="Times New Roman" w:cs="Times New Roman"/>
          <w:i/>
          <w:iCs/>
          <w:kern w:val="0"/>
          <w:sz w:val="24"/>
          <w:szCs w:val="24"/>
        </w:rPr>
        <w:t>Varieties of memory &amp; cons</w:t>
      </w:r>
      <w:r>
        <w:rPr>
          <w:rFonts w:ascii="Times New Roman" w:eastAsia="宋体" w:hAnsi="Times New Roman" w:cs="Times New Roman"/>
          <w:i/>
          <w:iCs/>
          <w:kern w:val="0"/>
          <w:sz w:val="24"/>
          <w:szCs w:val="24"/>
        </w:rPr>
        <w:t xml:space="preserve">ciousness </w:t>
      </w:r>
      <w:r>
        <w:rPr>
          <w:rFonts w:ascii="Times New Roman" w:eastAsia="宋体" w:hAnsi="Times New Roman" w:cs="Times New Roman"/>
          <w:kern w:val="0"/>
          <w:sz w:val="24"/>
          <w:szCs w:val="24"/>
        </w:rPr>
        <w:t>(pp. 309-330). Hillsdale, NJ: Erlbaum.</w:t>
      </w:r>
    </w:p>
    <w:p w:rsidR="00CD5E07" w:rsidRDefault="00CD5E07">
      <w:pPr>
        <w:widowControl/>
        <w:spacing w:after="160" w:line="259" w:lineRule="auto"/>
        <w:jc w:val="left"/>
        <w:rPr>
          <w:rFonts w:ascii="Times New Roman" w:eastAsia="宋体" w:hAnsi="Times New Roman" w:cs="Times New Roman"/>
          <w:kern w:val="0"/>
          <w:sz w:val="24"/>
          <w:szCs w:val="24"/>
        </w:rPr>
      </w:pPr>
    </w:p>
    <w:p w:rsidR="00CD5E07" w:rsidRDefault="00CD5E07">
      <w:pPr>
        <w:widowControl/>
        <w:spacing w:after="160" w:line="259" w:lineRule="auto"/>
        <w:jc w:val="left"/>
        <w:rPr>
          <w:rFonts w:ascii="Times New Roman" w:eastAsia="宋体" w:hAnsi="Times New Roman" w:cs="Times New Roman"/>
          <w:kern w:val="0"/>
          <w:sz w:val="24"/>
          <w:szCs w:val="24"/>
        </w:rPr>
      </w:pPr>
    </w:p>
    <w:p w:rsidR="00CD5E07" w:rsidRDefault="00090095">
      <w:pPr>
        <w:widowControl/>
        <w:spacing w:after="160" w:line="259" w:lineRule="auto"/>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English translation of a book:</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Lang, P. S. (1951). </w:t>
      </w:r>
      <w:r>
        <w:rPr>
          <w:rFonts w:ascii="Times New Roman" w:eastAsia="宋体" w:hAnsi="Times New Roman" w:cs="Times New Roman"/>
          <w:i/>
          <w:iCs/>
          <w:kern w:val="0"/>
          <w:sz w:val="24"/>
          <w:szCs w:val="24"/>
        </w:rPr>
        <w:t xml:space="preserve">A philosophical essay on probabilities </w:t>
      </w:r>
      <w:r>
        <w:rPr>
          <w:rFonts w:ascii="Times New Roman" w:eastAsia="宋体" w:hAnsi="Times New Roman" w:cs="Times New Roman"/>
          <w:kern w:val="0"/>
          <w:sz w:val="24"/>
          <w:szCs w:val="24"/>
        </w:rPr>
        <w:t>(F. W. Truscott &amp; F. L. Emory, Trans.). New York, NY: Dover. (Original work published 1814)</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 In text, cite </w:t>
      </w:r>
      <w:r>
        <w:rPr>
          <w:rFonts w:ascii="Times New Roman" w:eastAsia="宋体" w:hAnsi="Times New Roman" w:cs="Times New Roman"/>
          <w:kern w:val="0"/>
          <w:sz w:val="24"/>
          <w:szCs w:val="24"/>
        </w:rPr>
        <w:t>original date and translation date: (Lang, 1814/1951).</w:t>
      </w:r>
    </w:p>
    <w:p w:rsidR="00CD5E07" w:rsidRDefault="00CD5E07">
      <w:pPr>
        <w:widowControl/>
        <w:spacing w:after="160" w:line="259" w:lineRule="auto"/>
        <w:jc w:val="left"/>
        <w:rPr>
          <w:rFonts w:ascii="Times New Roman" w:eastAsia="宋体" w:hAnsi="Times New Roman" w:cs="Times New Roman"/>
          <w:b/>
          <w:bCs/>
          <w:kern w:val="0"/>
          <w:sz w:val="24"/>
          <w:szCs w:val="24"/>
        </w:rPr>
      </w:pPr>
    </w:p>
    <w:p w:rsidR="00CD5E07" w:rsidRDefault="00090095">
      <w:pPr>
        <w:widowControl/>
        <w:numPr>
          <w:ilvl w:val="0"/>
          <w:numId w:val="6"/>
        </w:numPr>
        <w:spacing w:after="160" w:line="259" w:lineRule="auto"/>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Technical and Research Reports</w:t>
      </w:r>
    </w:p>
    <w:p w:rsidR="00CD5E07" w:rsidRDefault="00090095">
      <w:pPr>
        <w:widowControl/>
        <w:spacing w:after="160" w:line="259" w:lineRule="auto"/>
        <w:ind w:firstLineChars="200" w:firstLine="480"/>
        <w:jc w:val="left"/>
        <w:rPr>
          <w:rFonts w:ascii="Times New Roman" w:eastAsia="宋体" w:hAnsi="Times New Roman" w:cs="Times New Roman"/>
          <w:bCs/>
          <w:kern w:val="0"/>
          <w:sz w:val="24"/>
          <w:szCs w:val="24"/>
        </w:rPr>
      </w:pPr>
      <w:r>
        <w:rPr>
          <w:rFonts w:ascii="Times New Roman" w:eastAsia="宋体" w:hAnsi="Times New Roman" w:cs="Times New Roman"/>
          <w:bCs/>
          <w:kern w:val="0"/>
          <w:sz w:val="24"/>
          <w:szCs w:val="24"/>
        </w:rPr>
        <w:t xml:space="preserve">Author, A. A. (1998). </w:t>
      </w:r>
      <w:r>
        <w:rPr>
          <w:rFonts w:ascii="Times New Roman" w:eastAsia="宋体" w:hAnsi="Times New Roman" w:cs="Times New Roman"/>
          <w:bCs/>
          <w:i/>
          <w:kern w:val="0"/>
          <w:sz w:val="24"/>
          <w:szCs w:val="24"/>
        </w:rPr>
        <w:t>Title of work</w:t>
      </w:r>
      <w:r>
        <w:rPr>
          <w:rFonts w:ascii="Times New Roman" w:eastAsia="宋体" w:hAnsi="Times New Roman" w:cs="Times New Roman"/>
          <w:bCs/>
          <w:kern w:val="0"/>
          <w:sz w:val="24"/>
          <w:szCs w:val="24"/>
        </w:rPr>
        <w:t xml:space="preserve"> (Report No. xxx). Location: Publisher.</w:t>
      </w:r>
    </w:p>
    <w:p w:rsidR="00CD5E07" w:rsidRDefault="00090095">
      <w:pPr>
        <w:widowControl/>
        <w:spacing w:after="160" w:line="259" w:lineRule="auto"/>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Corporate author, government report</w:t>
      </w:r>
    </w:p>
    <w:p w:rsidR="00CD5E07" w:rsidRDefault="00090095">
      <w:pPr>
        <w:widowControl/>
        <w:spacing w:after="160" w:line="259" w:lineRule="auto"/>
        <w:jc w:val="left"/>
        <w:rPr>
          <w:rFonts w:ascii="Times New Roman" w:eastAsia="宋体" w:hAnsi="Times New Roman" w:cs="Times New Roman"/>
          <w:bCs/>
          <w:color w:val="0563C1" w:themeColor="hyperlink"/>
          <w:kern w:val="0"/>
          <w:sz w:val="24"/>
          <w:szCs w:val="24"/>
          <w:u w:val="single"/>
        </w:rPr>
      </w:pPr>
      <w:r>
        <w:rPr>
          <w:rFonts w:ascii="Times New Roman" w:eastAsia="宋体" w:hAnsi="Times New Roman" w:cs="Times New Roman"/>
          <w:bCs/>
          <w:kern w:val="0"/>
          <w:sz w:val="24"/>
          <w:szCs w:val="24"/>
        </w:rPr>
        <w:t>U.S. Department of Health and Human Services, National Ins</w:t>
      </w:r>
      <w:r>
        <w:rPr>
          <w:rFonts w:ascii="Times New Roman" w:eastAsia="宋体" w:hAnsi="Times New Roman" w:cs="Times New Roman"/>
          <w:bCs/>
          <w:kern w:val="0"/>
          <w:sz w:val="24"/>
          <w:szCs w:val="24"/>
        </w:rPr>
        <w:t>titutes of Health,</w:t>
      </w:r>
      <w:r>
        <w:rPr>
          <w:rFonts w:ascii="Times New Roman" w:eastAsia="宋体" w:hAnsi="Times New Roman" w:cs="Times New Roman" w:hint="eastAsia"/>
          <w:bCs/>
          <w:kern w:val="0"/>
          <w:sz w:val="24"/>
          <w:szCs w:val="24"/>
        </w:rPr>
        <w:t xml:space="preserve"> </w:t>
      </w:r>
      <w:r>
        <w:rPr>
          <w:rFonts w:ascii="Times New Roman" w:eastAsia="宋体" w:hAnsi="Times New Roman" w:cs="Times New Roman"/>
          <w:bCs/>
          <w:kern w:val="0"/>
          <w:sz w:val="24"/>
          <w:szCs w:val="24"/>
        </w:rPr>
        <w:t xml:space="preserve">National Heart, Lung, and Blood Institute. (2003). </w:t>
      </w:r>
      <w:r>
        <w:rPr>
          <w:rFonts w:ascii="Times New Roman" w:eastAsia="宋体" w:hAnsi="Times New Roman" w:cs="Times New Roman"/>
          <w:bCs/>
          <w:i/>
          <w:kern w:val="0"/>
          <w:sz w:val="24"/>
          <w:szCs w:val="24"/>
        </w:rPr>
        <w:t>Managing asthma: A guide</w:t>
      </w:r>
      <w:r>
        <w:rPr>
          <w:rFonts w:ascii="Times New Roman" w:eastAsia="宋体" w:hAnsi="Times New Roman" w:cs="Times New Roman" w:hint="eastAsia"/>
          <w:bCs/>
          <w:i/>
          <w:kern w:val="0"/>
          <w:sz w:val="24"/>
          <w:szCs w:val="24"/>
        </w:rPr>
        <w:t xml:space="preserve"> </w:t>
      </w:r>
      <w:r>
        <w:rPr>
          <w:rFonts w:ascii="Times New Roman" w:eastAsia="宋体" w:hAnsi="Times New Roman" w:cs="Times New Roman"/>
          <w:bCs/>
          <w:i/>
          <w:kern w:val="0"/>
          <w:sz w:val="24"/>
          <w:szCs w:val="24"/>
        </w:rPr>
        <w:t>for schools</w:t>
      </w:r>
      <w:r>
        <w:rPr>
          <w:rFonts w:ascii="Times New Roman" w:eastAsia="宋体" w:hAnsi="Times New Roman" w:cs="Times New Roman"/>
          <w:bCs/>
          <w:kern w:val="0"/>
          <w:sz w:val="24"/>
          <w:szCs w:val="24"/>
        </w:rPr>
        <w:t xml:space="preserve"> (NIH Publication No. 02-2650). Retrieved from </w:t>
      </w:r>
      <w:hyperlink r:id="rId11" w:history="1">
        <w:r>
          <w:rPr>
            <w:rStyle w:val="a6"/>
            <w:rFonts w:ascii="Times New Roman" w:eastAsia="宋体" w:hAnsi="Times New Roman" w:cs="Times New Roman"/>
            <w:bCs/>
            <w:kern w:val="0"/>
            <w:sz w:val="24"/>
            <w:szCs w:val="24"/>
          </w:rPr>
          <w:t>http://www.nhlbi.nih.gov/health/prof/lung/asthma/asth_sch.pdf</w:t>
        </w:r>
      </w:hyperlink>
    </w:p>
    <w:p w:rsidR="00CD5E07" w:rsidRDefault="00090095">
      <w:pPr>
        <w:widowControl/>
        <w:spacing w:after="160" w:line="259" w:lineRule="auto"/>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Authored report, from nongovernmental organization</w:t>
      </w:r>
    </w:p>
    <w:p w:rsidR="00CD5E07" w:rsidRDefault="00090095">
      <w:pPr>
        <w:widowControl/>
        <w:spacing w:after="160" w:line="259" w:lineRule="auto"/>
        <w:jc w:val="left"/>
        <w:rPr>
          <w:rFonts w:ascii="Times New Roman" w:eastAsia="宋体" w:hAnsi="Times New Roman" w:cs="Times New Roman"/>
          <w:bCs/>
          <w:color w:val="0563C1"/>
          <w:kern w:val="0"/>
          <w:sz w:val="24"/>
          <w:szCs w:val="24"/>
          <w:u w:val="single"/>
        </w:rPr>
      </w:pPr>
      <w:r>
        <w:rPr>
          <w:rFonts w:ascii="Times New Roman" w:eastAsia="宋体" w:hAnsi="Times New Roman" w:cs="Times New Roman"/>
          <w:bCs/>
          <w:kern w:val="0"/>
          <w:sz w:val="24"/>
          <w:szCs w:val="24"/>
        </w:rPr>
        <w:t xml:space="preserve">Kessy, S. S. A., &amp; Urio, F. M. (2006). </w:t>
      </w:r>
      <w:r>
        <w:rPr>
          <w:rFonts w:ascii="Times New Roman" w:eastAsia="宋体" w:hAnsi="Times New Roman" w:cs="Times New Roman"/>
          <w:bCs/>
          <w:i/>
          <w:kern w:val="0"/>
          <w:sz w:val="24"/>
          <w:szCs w:val="24"/>
        </w:rPr>
        <w:t>The contribution of microfinance institutions</w:t>
      </w:r>
      <w:r>
        <w:rPr>
          <w:rFonts w:ascii="Times New Roman" w:eastAsia="宋体" w:hAnsi="Times New Roman" w:cs="Times New Roman" w:hint="eastAsia"/>
          <w:bCs/>
          <w:i/>
          <w:kern w:val="0"/>
          <w:sz w:val="24"/>
          <w:szCs w:val="24"/>
        </w:rPr>
        <w:t xml:space="preserve"> </w:t>
      </w:r>
      <w:r>
        <w:rPr>
          <w:rFonts w:ascii="Times New Roman" w:eastAsia="宋体" w:hAnsi="Times New Roman" w:cs="Times New Roman"/>
          <w:bCs/>
          <w:i/>
          <w:kern w:val="0"/>
          <w:sz w:val="24"/>
          <w:szCs w:val="24"/>
        </w:rPr>
        <w:t>to poverty reduction in Tanzania</w:t>
      </w:r>
      <w:r>
        <w:rPr>
          <w:rFonts w:ascii="Times New Roman" w:eastAsia="宋体" w:hAnsi="Times New Roman" w:cs="Times New Roman"/>
          <w:bCs/>
          <w:kern w:val="0"/>
          <w:sz w:val="24"/>
          <w:szCs w:val="24"/>
        </w:rPr>
        <w:t xml:space="preserve"> (Research Report No. 0</w:t>
      </w:r>
      <w:r>
        <w:rPr>
          <w:rFonts w:ascii="Times New Roman" w:eastAsia="宋体" w:hAnsi="Times New Roman" w:cs="Times New Roman"/>
          <w:bCs/>
          <w:kern w:val="0"/>
          <w:sz w:val="24"/>
          <w:szCs w:val="24"/>
        </w:rPr>
        <w:t>6.3). Retrieved</w:t>
      </w:r>
      <w:r>
        <w:rPr>
          <w:rFonts w:ascii="Times New Roman" w:eastAsia="宋体" w:hAnsi="Times New Roman" w:cs="Times New Roman" w:hint="eastAsia"/>
          <w:bCs/>
          <w:kern w:val="0"/>
          <w:sz w:val="24"/>
          <w:szCs w:val="24"/>
        </w:rPr>
        <w:t xml:space="preserve"> </w:t>
      </w:r>
      <w:r>
        <w:rPr>
          <w:rFonts w:ascii="Times New Roman" w:eastAsia="宋体" w:hAnsi="Times New Roman" w:cs="Times New Roman"/>
          <w:bCs/>
          <w:kern w:val="0"/>
          <w:sz w:val="24"/>
          <w:szCs w:val="24"/>
        </w:rPr>
        <w:t xml:space="preserve">from Research on Poverty Alleviation website: </w:t>
      </w:r>
      <w:hyperlink r:id="rId12" w:history="1">
        <w:r>
          <w:rPr>
            <w:rStyle w:val="a6"/>
            <w:rFonts w:ascii="Times New Roman" w:eastAsia="宋体" w:hAnsi="Times New Roman" w:cs="Times New Roman"/>
            <w:bCs/>
            <w:kern w:val="0"/>
            <w:sz w:val="24"/>
            <w:szCs w:val="24"/>
          </w:rPr>
          <w:t>http://www.repoa.or.tz/documents_storage/Publications/Reports/06.3_Kessy_and_Urio.pdf</w:t>
        </w:r>
      </w:hyperlink>
    </w:p>
    <w:p w:rsidR="00CD5E07" w:rsidRDefault="00CD5E07">
      <w:pPr>
        <w:widowControl/>
        <w:spacing w:after="160" w:line="259" w:lineRule="auto"/>
        <w:jc w:val="left"/>
        <w:rPr>
          <w:rFonts w:ascii="Times New Roman" w:eastAsia="宋体" w:hAnsi="Times New Roman" w:cs="Times New Roman"/>
          <w:b/>
          <w:bCs/>
          <w:kern w:val="0"/>
          <w:sz w:val="24"/>
          <w:szCs w:val="24"/>
        </w:rPr>
      </w:pPr>
    </w:p>
    <w:p w:rsidR="00CD5E07" w:rsidRDefault="00090095">
      <w:pPr>
        <w:widowControl/>
        <w:numPr>
          <w:ilvl w:val="0"/>
          <w:numId w:val="6"/>
        </w:numPr>
        <w:spacing w:after="160" w:line="259" w:lineRule="auto"/>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Disse</w:t>
      </w:r>
      <w:r>
        <w:rPr>
          <w:rFonts w:ascii="Times New Roman" w:eastAsia="宋体" w:hAnsi="Times New Roman" w:cs="Times New Roman"/>
          <w:b/>
          <w:bCs/>
          <w:kern w:val="0"/>
          <w:sz w:val="24"/>
          <w:szCs w:val="24"/>
        </w:rPr>
        <w:t>rtations and Theses</w:t>
      </w:r>
    </w:p>
    <w:p w:rsidR="00CD5E07" w:rsidRDefault="00090095">
      <w:pPr>
        <w:widowControl/>
        <w:spacing w:after="160" w:line="259" w:lineRule="auto"/>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Source: Dissertations and Theses database</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Pecore, J. T. (2004). </w:t>
      </w:r>
      <w:r>
        <w:rPr>
          <w:rFonts w:ascii="Times New Roman" w:eastAsia="宋体" w:hAnsi="Times New Roman" w:cs="Times New Roman"/>
          <w:i/>
          <w:iCs/>
          <w:kern w:val="0"/>
          <w:sz w:val="24"/>
          <w:szCs w:val="24"/>
        </w:rPr>
        <w:t>Sounding the spirit of Cambodia: The living tradition of Khmer music and dance-drama in a Washington, DC community</w:t>
      </w:r>
      <w:r>
        <w:rPr>
          <w:rFonts w:ascii="Times New Roman" w:eastAsia="宋体" w:hAnsi="Times New Roman" w:cs="Times New Roman"/>
          <w:kern w:val="0"/>
          <w:sz w:val="24"/>
          <w:szCs w:val="24"/>
        </w:rPr>
        <w:t> (Doctoral dissertation). Retrieved from Dissertations and</w:t>
      </w:r>
      <w:r>
        <w:rPr>
          <w:rFonts w:ascii="Times New Roman" w:eastAsia="宋体" w:hAnsi="Times New Roman" w:cs="Times New Roman"/>
          <w:kern w:val="0"/>
          <w:sz w:val="24"/>
          <w:szCs w:val="24"/>
        </w:rPr>
        <w:t xml:space="preserve"> Theses database. (UMI No. 3114720)</w:t>
      </w:r>
    </w:p>
    <w:p w:rsidR="00CD5E07" w:rsidRDefault="00090095">
      <w:pPr>
        <w:widowControl/>
        <w:spacing w:after="160" w:line="259" w:lineRule="auto"/>
        <w:jc w:val="left"/>
        <w:rPr>
          <w:rFonts w:ascii="Times New Roman" w:eastAsia="宋体" w:hAnsi="Times New Roman" w:cs="Times New Roman"/>
          <w:b/>
          <w:bCs/>
          <w:kern w:val="0"/>
          <w:sz w:val="24"/>
          <w:szCs w:val="24"/>
        </w:rPr>
      </w:pPr>
      <w:r>
        <w:rPr>
          <w:rFonts w:ascii="Times New Roman" w:eastAsia="宋体" w:hAnsi="Times New Roman" w:cs="Times New Roman"/>
          <w:b/>
          <w:bCs/>
          <w:kern w:val="0"/>
          <w:sz w:val="24"/>
          <w:szCs w:val="24"/>
        </w:rPr>
        <w:t>Source: Free Web</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lastRenderedPageBreak/>
        <w:t>Caprette, C. L. (2005). </w:t>
      </w:r>
      <w:r>
        <w:rPr>
          <w:rFonts w:ascii="Times New Roman" w:eastAsia="宋体" w:hAnsi="Times New Roman" w:cs="Times New Roman"/>
          <w:i/>
          <w:iCs/>
          <w:kern w:val="0"/>
          <w:sz w:val="24"/>
          <w:szCs w:val="24"/>
        </w:rPr>
        <w:t>Conquering the cold shudder: The origin and evolution of snake eyes</w:t>
      </w:r>
      <w:r>
        <w:rPr>
          <w:rFonts w:ascii="Times New Roman" w:eastAsia="宋体" w:hAnsi="Times New Roman" w:cs="Times New Roman"/>
          <w:kern w:val="0"/>
          <w:sz w:val="24"/>
          <w:szCs w:val="24"/>
        </w:rPr>
        <w:t xml:space="preserve"> (Doctoral dissertation). Retrieved from </w:t>
      </w:r>
      <w:hyperlink r:id="rId13" w:history="1">
        <w:r>
          <w:rPr>
            <w:rFonts w:ascii="Times New Roman" w:eastAsia="宋体" w:hAnsi="Times New Roman" w:cs="Times New Roman"/>
            <w:color w:val="0563C1"/>
            <w:kern w:val="0"/>
            <w:sz w:val="24"/>
            <w:szCs w:val="24"/>
            <w:u w:val="single"/>
          </w:rPr>
          <w:t>http://www.ohiolink.edu/etd/send-pdf.cgi?acc_num=osu1111184984</w:t>
        </w:r>
      </w:hyperlink>
    </w:p>
    <w:p w:rsidR="00CD5E07" w:rsidRDefault="00090095">
      <w:pPr>
        <w:widowControl/>
        <w:spacing w:after="160" w:line="259" w:lineRule="auto"/>
        <w:jc w:val="left"/>
        <w:rPr>
          <w:rFonts w:ascii="Times New Roman" w:eastAsia="宋体" w:hAnsi="Times New Roman" w:cs="Times New Roman"/>
          <w:b/>
          <w:kern w:val="0"/>
          <w:sz w:val="24"/>
          <w:szCs w:val="24"/>
        </w:rPr>
      </w:pPr>
      <w:r>
        <w:rPr>
          <w:rFonts w:ascii="Times New Roman" w:eastAsia="宋体" w:hAnsi="Times New Roman" w:cs="Times New Roman"/>
          <w:b/>
          <w:bCs/>
          <w:kern w:val="0"/>
          <w:sz w:val="24"/>
          <w:szCs w:val="24"/>
        </w:rPr>
        <w:t>Source: In Print</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Caprette, C. L. (2005). </w:t>
      </w:r>
      <w:r>
        <w:rPr>
          <w:rFonts w:ascii="Times New Roman" w:eastAsia="宋体" w:hAnsi="Times New Roman" w:cs="Times New Roman"/>
          <w:i/>
          <w:iCs/>
          <w:kern w:val="0"/>
          <w:sz w:val="24"/>
          <w:szCs w:val="24"/>
        </w:rPr>
        <w:t>Conquering the cold shudder: The origin and evolution of snake eyes</w:t>
      </w:r>
      <w:r>
        <w:rPr>
          <w:rFonts w:ascii="Times New Roman" w:eastAsia="宋体" w:hAnsi="Times New Roman" w:cs="Times New Roman"/>
          <w:kern w:val="0"/>
          <w:sz w:val="24"/>
          <w:szCs w:val="24"/>
        </w:rPr>
        <w:t> (Doctoral dissertation). Ohio State University, Columbus, OH.</w:t>
      </w:r>
    </w:p>
    <w:p w:rsidR="00CD5E07" w:rsidRDefault="00CD5E07">
      <w:pPr>
        <w:widowControl/>
        <w:spacing w:after="160" w:line="259" w:lineRule="auto"/>
        <w:jc w:val="left"/>
        <w:rPr>
          <w:rFonts w:ascii="Times New Roman" w:eastAsia="宋体" w:hAnsi="Times New Roman" w:cs="Times New Roman"/>
          <w:b/>
          <w:kern w:val="0"/>
          <w:sz w:val="24"/>
          <w:szCs w:val="24"/>
        </w:rPr>
      </w:pPr>
    </w:p>
    <w:p w:rsidR="00CD5E07" w:rsidRDefault="00090095">
      <w:pPr>
        <w:widowControl/>
        <w:numPr>
          <w:ilvl w:val="0"/>
          <w:numId w:val="6"/>
        </w:numPr>
        <w:spacing w:after="160" w:line="259" w:lineRule="auto"/>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 xml:space="preserve">Meetings and </w:t>
      </w:r>
      <w:r>
        <w:rPr>
          <w:rFonts w:ascii="Times New Roman" w:eastAsia="宋体" w:hAnsi="Times New Roman" w:cs="Times New Roman"/>
          <w:b/>
          <w:kern w:val="0"/>
          <w:sz w:val="24"/>
          <w:szCs w:val="24"/>
        </w:rPr>
        <w:t>Symposia</w:t>
      </w:r>
    </w:p>
    <w:p w:rsidR="00CD5E07" w:rsidRDefault="00090095">
      <w:pPr>
        <w:widowControl/>
        <w:spacing w:after="160" w:line="259" w:lineRule="auto"/>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Proceedings published in book form</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lang w:val="de-DE"/>
        </w:rPr>
        <w:t xml:space="preserve">Katz, I., Gabayan, K., &amp; Aghajan, H. (2007). </w:t>
      </w:r>
      <w:r>
        <w:rPr>
          <w:rFonts w:ascii="Times New Roman" w:eastAsia="宋体" w:hAnsi="Times New Roman" w:cs="Times New Roman"/>
          <w:kern w:val="0"/>
          <w:sz w:val="24"/>
          <w:szCs w:val="24"/>
        </w:rPr>
        <w:t>A multi-touch surface using multiple</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cameras. In J. Blanc-Talon, W. Philips, D. Popescu, &amp; P. Scheunders (Eds.),</w:t>
      </w:r>
      <w:r>
        <w:rPr>
          <w:rFonts w:ascii="Times New Roman" w:eastAsia="宋体" w:hAnsi="Times New Roman" w:cs="Times New Roman" w:hint="eastAsia"/>
          <w:kern w:val="0"/>
          <w:sz w:val="24"/>
          <w:szCs w:val="24"/>
        </w:rPr>
        <w:t xml:space="preserve"> </w:t>
      </w:r>
      <w:r>
        <w:rPr>
          <w:rFonts w:ascii="Times New Roman" w:eastAsia="宋体" w:hAnsi="Times New Roman" w:cs="Times New Roman"/>
          <w:i/>
          <w:kern w:val="0"/>
          <w:sz w:val="24"/>
          <w:szCs w:val="24"/>
        </w:rPr>
        <w:t>Lecture Notes in Computer Science: Vol. 4678. Advanced</w:t>
      </w:r>
      <w:r>
        <w:rPr>
          <w:rFonts w:ascii="Times New Roman" w:eastAsia="宋体" w:hAnsi="Times New Roman" w:cs="Times New Roman"/>
          <w:i/>
          <w:kern w:val="0"/>
          <w:sz w:val="24"/>
          <w:szCs w:val="24"/>
        </w:rPr>
        <w:t xml:space="preserve"> Concepts for</w:t>
      </w:r>
      <w:r>
        <w:rPr>
          <w:rFonts w:ascii="Times New Roman" w:eastAsia="宋体" w:hAnsi="Times New Roman" w:cs="Times New Roman" w:hint="eastAsia"/>
          <w:i/>
          <w:kern w:val="0"/>
          <w:sz w:val="24"/>
          <w:szCs w:val="24"/>
        </w:rPr>
        <w:t xml:space="preserve"> </w:t>
      </w:r>
      <w:r>
        <w:rPr>
          <w:rFonts w:ascii="Times New Roman" w:eastAsia="宋体" w:hAnsi="Times New Roman" w:cs="Times New Roman"/>
          <w:i/>
          <w:kern w:val="0"/>
          <w:sz w:val="24"/>
          <w:szCs w:val="24"/>
        </w:rPr>
        <w:t>Intelligent Vision Systems</w:t>
      </w:r>
      <w:r>
        <w:rPr>
          <w:rFonts w:ascii="Times New Roman" w:eastAsia="宋体" w:hAnsi="Times New Roman" w:cs="Times New Roman"/>
          <w:kern w:val="0"/>
          <w:sz w:val="24"/>
          <w:szCs w:val="24"/>
        </w:rPr>
        <w:t xml:space="preserve"> (pp. 97-108). Berlin, Germany: Springer-Verlag. doi: 10.1007/978-3-540-74607-2_9</w:t>
      </w:r>
    </w:p>
    <w:p w:rsidR="00CD5E07" w:rsidRDefault="00090095">
      <w:pPr>
        <w:widowControl/>
        <w:spacing w:after="160" w:line="259" w:lineRule="auto"/>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Proceedings published regularly online</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Herculano-Houzel, S., Collins, C. E., Wong, P., Kaas, J. H., &amp; Lent, R. (2008). The</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basic nonuniformity of the cerebral cortex. </w:t>
      </w:r>
      <w:r>
        <w:rPr>
          <w:rFonts w:ascii="Times New Roman" w:eastAsia="宋体" w:hAnsi="Times New Roman" w:cs="Times New Roman"/>
          <w:i/>
          <w:kern w:val="0"/>
          <w:sz w:val="24"/>
          <w:szCs w:val="24"/>
        </w:rPr>
        <w:t>Proceedings of the National</w:t>
      </w:r>
      <w:r>
        <w:rPr>
          <w:rFonts w:ascii="Times New Roman" w:eastAsia="宋体" w:hAnsi="Times New Roman" w:cs="Times New Roman" w:hint="eastAsia"/>
          <w:i/>
          <w:kern w:val="0"/>
          <w:sz w:val="24"/>
          <w:szCs w:val="24"/>
        </w:rPr>
        <w:t xml:space="preserve"> </w:t>
      </w:r>
      <w:r>
        <w:rPr>
          <w:rFonts w:ascii="Times New Roman" w:eastAsia="宋体" w:hAnsi="Times New Roman" w:cs="Times New Roman"/>
          <w:i/>
          <w:kern w:val="0"/>
          <w:sz w:val="24"/>
          <w:szCs w:val="24"/>
        </w:rPr>
        <w:t>Academy of Sciences 105</w:t>
      </w:r>
      <w:r>
        <w:rPr>
          <w:rFonts w:ascii="Times New Roman" w:eastAsia="宋体" w:hAnsi="Times New Roman" w:cs="Times New Roman"/>
          <w:kern w:val="0"/>
          <w:sz w:val="24"/>
          <w:szCs w:val="24"/>
        </w:rPr>
        <w:t>, 12593-12598. doi: 10.1073/pnas.0805417105</w:t>
      </w:r>
    </w:p>
    <w:p w:rsidR="00CD5E07" w:rsidRDefault="00090095">
      <w:pPr>
        <w:widowControl/>
        <w:spacing w:after="160" w:line="259" w:lineRule="auto"/>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Conference paper abstract retrieved online</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 xml:space="preserve">Liu, S. (2005, May). </w:t>
      </w:r>
      <w:r>
        <w:rPr>
          <w:rFonts w:ascii="Times New Roman" w:eastAsia="宋体" w:hAnsi="Times New Roman" w:cs="Times New Roman"/>
          <w:i/>
          <w:kern w:val="0"/>
          <w:sz w:val="24"/>
          <w:szCs w:val="24"/>
        </w:rPr>
        <w:t>Defending against business crises with the help of in</w:t>
      </w:r>
      <w:r>
        <w:rPr>
          <w:rFonts w:ascii="Times New Roman" w:eastAsia="宋体" w:hAnsi="Times New Roman" w:cs="Times New Roman"/>
          <w:i/>
          <w:kern w:val="0"/>
          <w:sz w:val="24"/>
          <w:szCs w:val="24"/>
        </w:rPr>
        <w:t>telligent</w:t>
      </w:r>
      <w:r>
        <w:rPr>
          <w:rFonts w:ascii="Times New Roman" w:eastAsia="宋体" w:hAnsi="Times New Roman" w:cs="Times New Roman" w:hint="eastAsia"/>
          <w:i/>
          <w:kern w:val="0"/>
          <w:sz w:val="24"/>
          <w:szCs w:val="24"/>
        </w:rPr>
        <w:t xml:space="preserve"> </w:t>
      </w:r>
      <w:r>
        <w:rPr>
          <w:rFonts w:ascii="Times New Roman" w:eastAsia="宋体" w:hAnsi="Times New Roman" w:cs="Times New Roman"/>
          <w:i/>
          <w:kern w:val="0"/>
          <w:sz w:val="24"/>
          <w:szCs w:val="24"/>
        </w:rPr>
        <w:t>agent based early warning solutions</w:t>
      </w:r>
      <w:r>
        <w:rPr>
          <w:rFonts w:ascii="Times New Roman" w:eastAsia="宋体" w:hAnsi="Times New Roman" w:cs="Times New Roman"/>
          <w:kern w:val="0"/>
          <w:sz w:val="24"/>
          <w:szCs w:val="24"/>
        </w:rPr>
        <w:t>. Paper presented at the Seventh</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International Conference on Enterprise Information Systems, Miami, FL.</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Abstract retrieved from </w:t>
      </w:r>
      <w:hyperlink r:id="rId14" w:history="1">
        <w:r>
          <w:rPr>
            <w:rFonts w:ascii="Times New Roman" w:eastAsia="宋体" w:hAnsi="Times New Roman" w:cs="Times New Roman"/>
            <w:color w:val="0563C1"/>
            <w:kern w:val="0"/>
            <w:sz w:val="24"/>
            <w:szCs w:val="24"/>
            <w:u w:val="single"/>
          </w:rPr>
          <w:t>http://www.iceis.org</w:t>
        </w:r>
        <w:r>
          <w:rPr>
            <w:rFonts w:ascii="Times New Roman" w:eastAsia="宋体" w:hAnsi="Times New Roman" w:cs="Times New Roman"/>
            <w:color w:val="0563C1"/>
            <w:kern w:val="0"/>
            <w:sz w:val="24"/>
            <w:szCs w:val="24"/>
            <w:u w:val="single"/>
          </w:rPr>
          <w:t>/iceis2005/abstracts_2005.htm</w:t>
        </w:r>
      </w:hyperlink>
    </w:p>
    <w:p w:rsidR="00CD5E07" w:rsidRDefault="00090095">
      <w:pPr>
        <w:widowControl/>
        <w:spacing w:after="160" w:line="259" w:lineRule="auto"/>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Symposium contribution</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Muellbauer, J. (2007, September). Housing, credit, and consumer expenditure. In S.</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C. Ludvigson (Chair), </w:t>
      </w:r>
      <w:r>
        <w:rPr>
          <w:rFonts w:ascii="Times New Roman" w:eastAsia="宋体" w:hAnsi="Times New Roman" w:cs="Times New Roman"/>
          <w:i/>
          <w:kern w:val="0"/>
          <w:sz w:val="24"/>
          <w:szCs w:val="24"/>
        </w:rPr>
        <w:t>Housing and consumer behavior</w:t>
      </w:r>
      <w:r>
        <w:rPr>
          <w:rFonts w:ascii="Times New Roman" w:eastAsia="宋体" w:hAnsi="Times New Roman" w:cs="Times New Roman"/>
          <w:kern w:val="0"/>
          <w:sz w:val="24"/>
          <w:szCs w:val="24"/>
        </w:rPr>
        <w:t>. Symposium conducted</w:t>
      </w:r>
      <w:r>
        <w:rPr>
          <w:rFonts w:ascii="Times New Roman" w:eastAsia="宋体" w:hAnsi="Times New Roman" w:cs="Times New Roman" w:hint="eastAsia"/>
          <w:kern w:val="0"/>
          <w:sz w:val="24"/>
          <w:szCs w:val="24"/>
        </w:rPr>
        <w:t xml:space="preserve"> </w:t>
      </w:r>
      <w:r>
        <w:rPr>
          <w:rFonts w:ascii="Times New Roman" w:eastAsia="宋体" w:hAnsi="Times New Roman" w:cs="Times New Roman"/>
          <w:kern w:val="0"/>
          <w:sz w:val="24"/>
          <w:szCs w:val="24"/>
        </w:rPr>
        <w:t xml:space="preserve">at the meeting of the Federal Reserve Bank </w:t>
      </w:r>
      <w:r>
        <w:rPr>
          <w:rFonts w:ascii="Times New Roman" w:eastAsia="宋体" w:hAnsi="Times New Roman" w:cs="Times New Roman"/>
          <w:kern w:val="0"/>
          <w:sz w:val="24"/>
          <w:szCs w:val="24"/>
        </w:rPr>
        <w:t>of Kansas City, Jackson Hole, WY.</w:t>
      </w:r>
    </w:p>
    <w:p w:rsidR="00CD5E07" w:rsidRDefault="00CD5E07">
      <w:pPr>
        <w:widowControl/>
        <w:spacing w:after="160" w:line="259" w:lineRule="auto"/>
        <w:jc w:val="left"/>
        <w:rPr>
          <w:rFonts w:ascii="Times New Roman" w:eastAsia="宋体" w:hAnsi="Times New Roman" w:cs="Times New Roman"/>
          <w:b/>
          <w:kern w:val="0"/>
          <w:sz w:val="24"/>
          <w:szCs w:val="24"/>
        </w:rPr>
      </w:pPr>
    </w:p>
    <w:p w:rsidR="00CD5E07" w:rsidRDefault="00090095">
      <w:pPr>
        <w:widowControl/>
        <w:numPr>
          <w:ilvl w:val="0"/>
          <w:numId w:val="6"/>
        </w:numPr>
        <w:spacing w:after="160" w:line="259" w:lineRule="auto"/>
        <w:jc w:val="left"/>
        <w:rPr>
          <w:rFonts w:ascii="Times New Roman" w:eastAsia="宋体" w:hAnsi="Times New Roman" w:cs="Times New Roman"/>
          <w:b/>
          <w:kern w:val="0"/>
          <w:sz w:val="24"/>
          <w:szCs w:val="24"/>
        </w:rPr>
      </w:pPr>
      <w:r>
        <w:rPr>
          <w:rFonts w:ascii="Times New Roman" w:eastAsia="宋体" w:hAnsi="Times New Roman" w:cs="Times New Roman"/>
          <w:b/>
          <w:kern w:val="0"/>
          <w:sz w:val="24"/>
          <w:szCs w:val="24"/>
        </w:rPr>
        <w:t>Reference in Other Language</w:t>
      </w:r>
    </w:p>
    <w:p w:rsidR="00CD5E07" w:rsidRDefault="00090095">
      <w:pPr>
        <w:widowControl/>
        <w:spacing w:after="160" w:line="259" w:lineRule="auto"/>
        <w:jc w:val="left"/>
        <w:rPr>
          <w:rFonts w:ascii="Times New Roman" w:eastAsia="宋体" w:hAnsi="Times New Roman" w:cs="Times New Roman"/>
          <w:kern w:val="0"/>
          <w:sz w:val="24"/>
          <w:szCs w:val="24"/>
        </w:rPr>
      </w:pPr>
      <w:r>
        <w:rPr>
          <w:rFonts w:ascii="Times New Roman" w:eastAsia="宋体" w:hAnsi="Times New Roman" w:cs="Times New Roman"/>
          <w:kern w:val="0"/>
          <w:sz w:val="24"/>
          <w:szCs w:val="24"/>
        </w:rPr>
        <w:t>Hughes, J. C., Brestan, E. V., &amp; Valle, L. A. (2004). Problem-solving interactions between mothers and children. </w:t>
      </w:r>
      <w:r>
        <w:rPr>
          <w:rFonts w:ascii="Times New Roman" w:eastAsia="宋体" w:hAnsi="Times New Roman" w:cs="Times New Roman"/>
          <w:i/>
          <w:iCs/>
          <w:kern w:val="0"/>
          <w:sz w:val="24"/>
          <w:szCs w:val="24"/>
        </w:rPr>
        <w:t>Child and Family Behavior Therapy, 26</w:t>
      </w:r>
      <w:r>
        <w:rPr>
          <w:rFonts w:ascii="Times New Roman" w:eastAsia="宋体" w:hAnsi="Times New Roman" w:cs="Times New Roman"/>
          <w:kern w:val="0"/>
          <w:sz w:val="24"/>
          <w:szCs w:val="24"/>
        </w:rPr>
        <w:t>(1), 1-16. (</w:t>
      </w:r>
      <w:r>
        <w:rPr>
          <w:rFonts w:ascii="Times New Roman" w:eastAsia="宋体" w:hAnsi="Times New Roman" w:cs="Times New Roman"/>
          <w:i/>
          <w:kern w:val="0"/>
          <w:sz w:val="24"/>
          <w:szCs w:val="24"/>
        </w:rPr>
        <w:t>In Chinese</w:t>
      </w:r>
      <w:r>
        <w:rPr>
          <w:rFonts w:ascii="Times New Roman" w:eastAsia="宋体" w:hAnsi="Times New Roman" w:cs="Times New Roman"/>
          <w:kern w:val="0"/>
          <w:sz w:val="24"/>
          <w:szCs w:val="24"/>
        </w:rPr>
        <w:t xml:space="preserve">) </w:t>
      </w:r>
    </w:p>
    <w:p w:rsidR="00CD5E07" w:rsidRDefault="00CD5E07">
      <w:pPr>
        <w:spacing w:after="160" w:line="259" w:lineRule="auto"/>
        <w:rPr>
          <w:rFonts w:ascii="Times New Roman" w:hAnsi="Times New Roman" w:cs="Times New Roman"/>
          <w:sz w:val="24"/>
        </w:rPr>
      </w:pPr>
    </w:p>
    <w:sectPr w:rsidR="00CD5E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0095" w:rsidRDefault="00090095" w:rsidP="00D56C5D">
      <w:r>
        <w:separator/>
      </w:r>
    </w:p>
  </w:endnote>
  <w:endnote w:type="continuationSeparator" w:id="0">
    <w:p w:rsidR="00090095" w:rsidRDefault="00090095" w:rsidP="00D56C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0095" w:rsidRDefault="00090095" w:rsidP="00D56C5D">
      <w:r>
        <w:separator/>
      </w:r>
    </w:p>
  </w:footnote>
  <w:footnote w:type="continuationSeparator" w:id="0">
    <w:p w:rsidR="00090095" w:rsidRDefault="00090095" w:rsidP="00D56C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F17017"/>
    <w:multiLevelType w:val="multilevel"/>
    <w:tmpl w:val="06F17017"/>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
    <w:nsid w:val="074A56AB"/>
    <w:multiLevelType w:val="multilevel"/>
    <w:tmpl w:val="074A56AB"/>
    <w:lvl w:ilvl="0">
      <w:start w:val="1"/>
      <w:numFmt w:val="decimal"/>
      <w:lvlText w:val="%1."/>
      <w:lvlJc w:val="left"/>
      <w:pPr>
        <w:ind w:left="360" w:hanging="36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1AB53B1C"/>
    <w:multiLevelType w:val="multilevel"/>
    <w:tmpl w:val="1AB53B1C"/>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E5E3FD4"/>
    <w:multiLevelType w:val="multilevel"/>
    <w:tmpl w:val="45B2549C"/>
    <w:lvl w:ilvl="0">
      <w:start w:val="1"/>
      <w:numFmt w:val="bullet"/>
      <w:lvlText w:val=""/>
      <w:lvlJc w:val="left"/>
      <w:pPr>
        <w:ind w:left="360" w:hanging="36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3AB32676"/>
    <w:multiLevelType w:val="multilevel"/>
    <w:tmpl w:val="3AB32676"/>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5">
    <w:nsid w:val="756160A2"/>
    <w:multiLevelType w:val="multilevel"/>
    <w:tmpl w:val="756160A2"/>
    <w:lvl w:ilvl="0">
      <w:start w:val="1"/>
      <w:numFmt w:val="decimal"/>
      <w:lvlText w:val="%1."/>
      <w:lvlJc w:val="left"/>
      <w:pPr>
        <w:ind w:left="360" w:hanging="360"/>
      </w:pPr>
      <w:rPr>
        <w:rFonts w:hint="default"/>
        <w:b w:val="0"/>
        <w:color w:val="auto"/>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1"/>
  </w:num>
  <w:num w:numId="4">
    <w:abstractNumId w:val="5"/>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7ECE"/>
    <w:rsid w:val="00002D5D"/>
    <w:rsid w:val="00013A63"/>
    <w:rsid w:val="00013F7B"/>
    <w:rsid w:val="00015755"/>
    <w:rsid w:val="000203BE"/>
    <w:rsid w:val="00030743"/>
    <w:rsid w:val="00035249"/>
    <w:rsid w:val="000428E5"/>
    <w:rsid w:val="000430A2"/>
    <w:rsid w:val="00054E76"/>
    <w:rsid w:val="00061320"/>
    <w:rsid w:val="000647C2"/>
    <w:rsid w:val="00090095"/>
    <w:rsid w:val="000B770A"/>
    <w:rsid w:val="000C40CC"/>
    <w:rsid w:val="000D70B1"/>
    <w:rsid w:val="000D7E8F"/>
    <w:rsid w:val="000E5395"/>
    <w:rsid w:val="000F01DB"/>
    <w:rsid w:val="000F08D0"/>
    <w:rsid w:val="000F4DE0"/>
    <w:rsid w:val="001025E7"/>
    <w:rsid w:val="00121D6A"/>
    <w:rsid w:val="00134513"/>
    <w:rsid w:val="00134981"/>
    <w:rsid w:val="00142615"/>
    <w:rsid w:val="00156808"/>
    <w:rsid w:val="00171576"/>
    <w:rsid w:val="00175369"/>
    <w:rsid w:val="001777AF"/>
    <w:rsid w:val="00180BF2"/>
    <w:rsid w:val="00181417"/>
    <w:rsid w:val="00182D0C"/>
    <w:rsid w:val="00194343"/>
    <w:rsid w:val="001A7C1A"/>
    <w:rsid w:val="001B598A"/>
    <w:rsid w:val="001C099A"/>
    <w:rsid w:val="001C522D"/>
    <w:rsid w:val="001C68CB"/>
    <w:rsid w:val="001C7ECE"/>
    <w:rsid w:val="001D3E58"/>
    <w:rsid w:val="001E15A6"/>
    <w:rsid w:val="001E255B"/>
    <w:rsid w:val="001E451A"/>
    <w:rsid w:val="001F66BF"/>
    <w:rsid w:val="00211227"/>
    <w:rsid w:val="00227E87"/>
    <w:rsid w:val="0024112E"/>
    <w:rsid w:val="00242A14"/>
    <w:rsid w:val="00250DD3"/>
    <w:rsid w:val="00255652"/>
    <w:rsid w:val="00257D08"/>
    <w:rsid w:val="00265F5C"/>
    <w:rsid w:val="002B283C"/>
    <w:rsid w:val="002C0CB2"/>
    <w:rsid w:val="002C3EF4"/>
    <w:rsid w:val="002C6B70"/>
    <w:rsid w:val="003056A4"/>
    <w:rsid w:val="00322D87"/>
    <w:rsid w:val="00330689"/>
    <w:rsid w:val="0036696C"/>
    <w:rsid w:val="003C4FE4"/>
    <w:rsid w:val="003D045D"/>
    <w:rsid w:val="003D2B7E"/>
    <w:rsid w:val="00401400"/>
    <w:rsid w:val="0041579A"/>
    <w:rsid w:val="0042608C"/>
    <w:rsid w:val="0047552F"/>
    <w:rsid w:val="00483928"/>
    <w:rsid w:val="00493369"/>
    <w:rsid w:val="004962F0"/>
    <w:rsid w:val="004A4DE9"/>
    <w:rsid w:val="004B40C3"/>
    <w:rsid w:val="004D44BD"/>
    <w:rsid w:val="004D692E"/>
    <w:rsid w:val="004E715D"/>
    <w:rsid w:val="00505518"/>
    <w:rsid w:val="00507EF3"/>
    <w:rsid w:val="005161A7"/>
    <w:rsid w:val="00521F3F"/>
    <w:rsid w:val="00544192"/>
    <w:rsid w:val="00552081"/>
    <w:rsid w:val="005838D8"/>
    <w:rsid w:val="00595184"/>
    <w:rsid w:val="005E71B0"/>
    <w:rsid w:val="005F6BE2"/>
    <w:rsid w:val="00652DF7"/>
    <w:rsid w:val="006578D0"/>
    <w:rsid w:val="00671A68"/>
    <w:rsid w:val="00672D68"/>
    <w:rsid w:val="006759AF"/>
    <w:rsid w:val="00677DFF"/>
    <w:rsid w:val="00681CEA"/>
    <w:rsid w:val="00685744"/>
    <w:rsid w:val="006A5A88"/>
    <w:rsid w:val="006B3199"/>
    <w:rsid w:val="006C1404"/>
    <w:rsid w:val="006C5EDD"/>
    <w:rsid w:val="006C6A74"/>
    <w:rsid w:val="006F1C4E"/>
    <w:rsid w:val="00707ADE"/>
    <w:rsid w:val="00755089"/>
    <w:rsid w:val="00755B79"/>
    <w:rsid w:val="00764CE2"/>
    <w:rsid w:val="00770673"/>
    <w:rsid w:val="00770D48"/>
    <w:rsid w:val="007757C6"/>
    <w:rsid w:val="00776F02"/>
    <w:rsid w:val="00784D17"/>
    <w:rsid w:val="00787234"/>
    <w:rsid w:val="0079049B"/>
    <w:rsid w:val="00792948"/>
    <w:rsid w:val="007A00F5"/>
    <w:rsid w:val="007A7D9A"/>
    <w:rsid w:val="007B271B"/>
    <w:rsid w:val="007D4339"/>
    <w:rsid w:val="007F1977"/>
    <w:rsid w:val="007F7E52"/>
    <w:rsid w:val="00801BD6"/>
    <w:rsid w:val="00804A52"/>
    <w:rsid w:val="00830A53"/>
    <w:rsid w:val="00836939"/>
    <w:rsid w:val="00852209"/>
    <w:rsid w:val="0085682B"/>
    <w:rsid w:val="008740AE"/>
    <w:rsid w:val="00874E48"/>
    <w:rsid w:val="00882C0B"/>
    <w:rsid w:val="00897433"/>
    <w:rsid w:val="008A12AA"/>
    <w:rsid w:val="008A3D3B"/>
    <w:rsid w:val="008A586E"/>
    <w:rsid w:val="008A7687"/>
    <w:rsid w:val="008B59CE"/>
    <w:rsid w:val="008C5D6E"/>
    <w:rsid w:val="008E5787"/>
    <w:rsid w:val="00900DD9"/>
    <w:rsid w:val="00925409"/>
    <w:rsid w:val="00933EA7"/>
    <w:rsid w:val="00942569"/>
    <w:rsid w:val="00952222"/>
    <w:rsid w:val="00957DBF"/>
    <w:rsid w:val="009747D6"/>
    <w:rsid w:val="00980A36"/>
    <w:rsid w:val="009931D3"/>
    <w:rsid w:val="009B038F"/>
    <w:rsid w:val="009B0516"/>
    <w:rsid w:val="009E43C5"/>
    <w:rsid w:val="00A042DD"/>
    <w:rsid w:val="00A27387"/>
    <w:rsid w:val="00A641AE"/>
    <w:rsid w:val="00A66D18"/>
    <w:rsid w:val="00AA0B9F"/>
    <w:rsid w:val="00AA374D"/>
    <w:rsid w:val="00AC3D88"/>
    <w:rsid w:val="00AD0EA7"/>
    <w:rsid w:val="00AD3552"/>
    <w:rsid w:val="00AF4B8B"/>
    <w:rsid w:val="00AF524B"/>
    <w:rsid w:val="00AF6122"/>
    <w:rsid w:val="00B05032"/>
    <w:rsid w:val="00B059C1"/>
    <w:rsid w:val="00B2124C"/>
    <w:rsid w:val="00B25B0D"/>
    <w:rsid w:val="00B50327"/>
    <w:rsid w:val="00B50459"/>
    <w:rsid w:val="00B603AD"/>
    <w:rsid w:val="00B77924"/>
    <w:rsid w:val="00B917E8"/>
    <w:rsid w:val="00B94147"/>
    <w:rsid w:val="00BA33F3"/>
    <w:rsid w:val="00BD4687"/>
    <w:rsid w:val="00BF28B3"/>
    <w:rsid w:val="00C01A7B"/>
    <w:rsid w:val="00C11D3F"/>
    <w:rsid w:val="00C34728"/>
    <w:rsid w:val="00C36E9F"/>
    <w:rsid w:val="00C3720F"/>
    <w:rsid w:val="00C51725"/>
    <w:rsid w:val="00C5473E"/>
    <w:rsid w:val="00C75EC2"/>
    <w:rsid w:val="00C87597"/>
    <w:rsid w:val="00C916EE"/>
    <w:rsid w:val="00C93F14"/>
    <w:rsid w:val="00CB6065"/>
    <w:rsid w:val="00CB7276"/>
    <w:rsid w:val="00CB74BE"/>
    <w:rsid w:val="00CC14A3"/>
    <w:rsid w:val="00CD5E07"/>
    <w:rsid w:val="00CF630A"/>
    <w:rsid w:val="00D02338"/>
    <w:rsid w:val="00D23D48"/>
    <w:rsid w:val="00D248EE"/>
    <w:rsid w:val="00D516B6"/>
    <w:rsid w:val="00D56C5D"/>
    <w:rsid w:val="00D65356"/>
    <w:rsid w:val="00D74B0E"/>
    <w:rsid w:val="00D82F78"/>
    <w:rsid w:val="00D90CA9"/>
    <w:rsid w:val="00D923B9"/>
    <w:rsid w:val="00DB1B3D"/>
    <w:rsid w:val="00DB32AB"/>
    <w:rsid w:val="00DB5E42"/>
    <w:rsid w:val="00DC3B43"/>
    <w:rsid w:val="00DD1704"/>
    <w:rsid w:val="00DE011B"/>
    <w:rsid w:val="00DE0BFB"/>
    <w:rsid w:val="00DE3238"/>
    <w:rsid w:val="00DE6F9D"/>
    <w:rsid w:val="00DF4558"/>
    <w:rsid w:val="00E0636D"/>
    <w:rsid w:val="00E2047A"/>
    <w:rsid w:val="00E33F33"/>
    <w:rsid w:val="00E4381C"/>
    <w:rsid w:val="00E50FA1"/>
    <w:rsid w:val="00E52BE6"/>
    <w:rsid w:val="00E54BE3"/>
    <w:rsid w:val="00E5772E"/>
    <w:rsid w:val="00E645F1"/>
    <w:rsid w:val="00E656EF"/>
    <w:rsid w:val="00E67EE7"/>
    <w:rsid w:val="00E7187A"/>
    <w:rsid w:val="00E72CEA"/>
    <w:rsid w:val="00E91A03"/>
    <w:rsid w:val="00EB109D"/>
    <w:rsid w:val="00ED4EE9"/>
    <w:rsid w:val="00F00FC3"/>
    <w:rsid w:val="00F27338"/>
    <w:rsid w:val="00F435D8"/>
    <w:rsid w:val="00F550F1"/>
    <w:rsid w:val="00F80807"/>
    <w:rsid w:val="00F867D0"/>
    <w:rsid w:val="00FA17D3"/>
    <w:rsid w:val="00FA62EB"/>
    <w:rsid w:val="00FB042D"/>
    <w:rsid w:val="00FB686C"/>
    <w:rsid w:val="00FC395C"/>
    <w:rsid w:val="00FD0E75"/>
    <w:rsid w:val="00FE448B"/>
    <w:rsid w:val="00FE4708"/>
    <w:rsid w:val="00FE5282"/>
    <w:rsid w:val="55F41D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08A2A67-FA3A-4825-9FA0-466279087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FollowedHyperlink"/>
    <w:basedOn w:val="a0"/>
    <w:uiPriority w:val="99"/>
    <w:semiHidden/>
    <w:unhideWhenUsed/>
    <w:qFormat/>
    <w:rPr>
      <w:color w:val="954F72" w:themeColor="followedHyperlink"/>
      <w:u w:val="single"/>
    </w:rPr>
  </w:style>
  <w:style w:type="character" w:styleId="a6">
    <w:name w:val="Hyperlink"/>
    <w:basedOn w:val="a0"/>
    <w:uiPriority w:val="99"/>
    <w:unhideWhenUsed/>
    <w:rPr>
      <w:color w:val="0563C1" w:themeColor="hyperlink"/>
      <w:u w:val="single"/>
    </w:rPr>
  </w:style>
  <w:style w:type="paragraph" w:styleId="a7">
    <w:name w:val="List Paragraph"/>
    <w:basedOn w:val="a"/>
    <w:uiPriority w:val="34"/>
    <w:qFormat/>
    <w:pPr>
      <w:ind w:firstLineChars="200" w:firstLine="420"/>
    </w:p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ohiolink.edu/etd/send-pdf.cgi?acc_num=osu1111184984"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www.repoa.or.tz/documents_storage/Publications/Reports/06.3_Kessy_and_Urio.pdf"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hlbi.nih.gov/health/prof/lung/asthma/asth_sch.pdf"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http://ojs.lib.swin.edu.au/index.php/ejap"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yperlink" Target="http://www.iceis.org/iceis2005/abstracts_2005.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228</TotalTime>
  <Pages>7</Pages>
  <Words>1590</Words>
  <Characters>9067</Characters>
  <Application>Microsoft Office Word</Application>
  <DocSecurity>0</DocSecurity>
  <Lines>75</Lines>
  <Paragraphs>21</Paragraphs>
  <ScaleCrop>false</ScaleCrop>
  <Company>Tsinghua</Company>
  <LinksUpToDate>false</LinksUpToDate>
  <CharactersWithSpaces>10636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Zhao Ying</cp:lastModifiedBy>
  <cp:revision>18</cp:revision>
  <dcterms:created xsi:type="dcterms:W3CDTF">2024-05-10T09:00:00Z</dcterms:created>
  <dcterms:modified xsi:type="dcterms:W3CDTF">2025-06-26T03:06:00Z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eyJoZGlkIjoiNzdmMTVmMDhlN2Q0YmIwM2ZlNzk3NjZiOTE2MTg3MjYiLCJ1c2VySWQiOiIxMTU1ODEyNzU5In0=</vt:lpwstr>
  </property>
  <property fmtid="{D5CDD505-2E9C-101B-9397-08002B2CF9AE}" pid="3" name="KSOProductBuildVer">
    <vt:lpwstr>2052-12.1.0.21541</vt:lpwstr>
  </property>
  <property fmtid="{D5CDD505-2E9C-101B-9397-08002B2CF9AE}" pid="4" name="ICV">
    <vt:lpwstr>2265AA26197A4DAFBA96AA15C0C392F4_12</vt:lpwstr>
  </property>
</Properties>
</file>